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TradingAgents ASX Customization Guide</w:t>
      </w:r>
    </w:p>
    <w:p>
      <w:r>
        <w:t xml:space="preserve">This guide documents a complete set of customizations that adapt the open-source </w:t>
      </w:r>
      <w:r>
        <w:rPr>
          <w:b/>
        </w:rPr>
        <w:t>TradingAgents</w:t>
      </w:r>
      <w:r>
        <w:t xml:space="preserve"> project from US markets to the </w:t>
      </w:r>
      <w:r>
        <w:rPr>
          <w:b/>
        </w:rPr>
        <w:t>Australian Securities Exchange (ASX)</w:t>
      </w:r>
      <w:r>
        <w:t>, along with the supporting infrastructure needed to run it day to day: OAuth-based LLM access, a batch analysis pipeline, scheduled automation, and a web dashboard.</w:t>
      </w:r>
    </w:p>
    <w:p>
      <w:r>
        <w:t xml:space="preserve">It is written as a sequential build guide — work through the steps in order on a single, self-contained server that runs both the batch analysis engine and the web dashboard. Each step explains </w:t>
      </w:r>
      <w:r>
        <w:rPr>
          <w:b/>
        </w:rPr>
        <w:t>what</w:t>
      </w:r>
      <w:r>
        <w:t xml:space="preserve"> to build, </w:t>
      </w:r>
      <w:r>
        <w:rPr>
          <w:b/>
        </w:rPr>
        <w:t>why</w:t>
      </w:r>
      <w:r>
        <w:t xml:space="preserve"> it's needed for ASX markets (where that applies), and </w:t>
      </w:r>
      <w:r>
        <w:rPr>
          <w:b/>
        </w:rPr>
        <w:t>how</w:t>
      </w:r>
      <w:r>
        <w:t xml:space="preserve"> to implement it precisely enough to build from scratch.</w:t>
      </w:r>
    </w:p>
    <w:p>
      <w:pPr>
        <w:pStyle w:val="Heading1"/>
      </w:pPr>
      <w:r>
        <w:t>Step 1 — LLM provider authentication: xAI Grok and OpenAI Codex via OAuth</w:t>
      </w:r>
    </w:p>
    <w:p>
      <w:r>
        <w:rPr>
          <w:b/>
        </w:rPr>
        <w:t>What it is:</w:t>
      </w:r>
      <w:r>
        <w:t xml:space="preserve"> Two LLM providers, authenticated via OAuth login through their official CLIs rather than metered API keys. This lets the batch analysis pipeline run against a Grok or ChatGPT/Codex subscription instead of paying per-token API rates.</w:t>
      </w:r>
    </w:p>
    <w:p>
      <w:r>
        <w:rPr>
          <w:b/>
        </w:rPr>
        <w:t>Why OAuth instead of API keys:</w:t>
      </w:r>
      <w:r>
        <w:t xml:space="preserve"> Running a large batch (e.g. analyzing an entire market index weekly) against metered API pricing gets expensive fast. Both xAI and OpenAI ship official CLI tools that support subscription-based OAuth login, and both expose the same underlying model access through an OpenAI-compatible "Responses API" once authenticated. Building custom LLM clients that read the CLIs' own cached credentials means the batch pipeline can ride an existing subscription with no separate billing setup.</w:t>
      </w:r>
    </w:p>
    <w:p>
      <w:pPr>
        <w:pStyle w:val="Heading2"/>
      </w:pPr>
      <w:r>
        <w:t>1a. xAI Grok</w:t>
      </w:r>
    </w:p>
    <w:p>
      <w:r>
        <w:rPr>
          <w:b/>
        </w:rPr>
        <w:t>Install and authenticate (manual, human step):</w:t>
      </w:r>
    </w:p>
    <w:p>
      <w:pPr>
        <w:spacing w:after="120"/>
        <w:ind w:left="432"/>
        <w:shd w:fill="F2F2F2"/>
      </w:pPr>
      <w:r>
        <w:rPr>
          <w:rFonts w:ascii="Consolas" w:hAnsi="Consolas"/>
          <w:sz w:val="17"/>
        </w:rPr>
        <w:t>curl -fsSL https://x.ai/cli/install.sh | bash</w:t>
        <w:br/>
        <w:t>grok --version   # verify install</w:t>
        <w:br/>
        <w:t>grok login       # opens a browser, signs in via OAuth at auth.x.ai</w:t>
      </w:r>
    </w:p>
    <w:p>
      <w:r>
        <w:t xml:space="preserve">Requires a SuperGrok or X Premium+ subscription on the account you sign in with. Credentials are cached at </w:t>
      </w:r>
      <w:r>
        <w:rPr>
          <w:rFonts w:ascii="Consolas" w:hAnsi="Consolas"/>
          <w:sz w:val="19"/>
        </w:rPr>
        <w:t>~/.grok/auth.json</w:t>
      </w:r>
      <w:r>
        <w:t xml:space="preserve"> (owner-only permissions) and refreshed automatically in the background by the CLI itself — no separate token-refresh job is required for the CLI's own use, but the TradingAgents client below does its own independent refresh so it can't be blocked waiting on the CLI's background refresh timing.</w:t>
      </w:r>
    </w:p>
    <w:p>
      <w:r>
        <w:rPr>
          <w:b/>
        </w:rPr>
        <w:t>Credential file format</w:t>
      </w:r>
      <w:r>
        <w:t xml:space="preserve"> (</w:t>
      </w:r>
      <w:r>
        <w:rPr>
          <w:rFonts w:ascii="Consolas" w:hAnsi="Consolas"/>
          <w:sz w:val="19"/>
        </w:rPr>
        <w:t>~/.grok/auth.json</w:t>
      </w:r>
      <w:r>
        <w:t>):</w:t>
      </w:r>
    </w:p>
    <w:p>
      <w:pPr>
        <w:spacing w:after="120"/>
        <w:ind w:left="432"/>
        <w:shd w:fill="F2F2F2"/>
      </w:pPr>
      <w:r>
        <w:rPr>
          <w:rFonts w:ascii="Consolas" w:hAnsi="Consolas"/>
          <w:sz w:val="17"/>
        </w:rPr>
        <w:t>{</w:t>
        <w:br/>
        <w:t xml:space="preserve">  "https://auth.x.ai::b1a00492-073a-47ea-816f-4c329264a828": {</w:t>
        <w:br/>
        <w:t xml:space="preserve">    "key": "&lt;access token&gt;",</w:t>
        <w:br/>
        <w:t xml:space="preserve">    "refresh_token": "&lt;refresh token&gt;",</w:t>
        <w:br/>
        <w:t xml:space="preserve">    "expires_at": "&lt;ISO8601 timestamp&gt;",</w:t>
        <w:br/>
        <w:t xml:space="preserve">    "...": "additional profile fields, ignore"</w:t>
        <w:br/>
        <w:t xml:space="preserve">  }</w:t>
        <w:br/>
        <w:t>}</w:t>
      </w:r>
    </w:p>
    <w:p>
      <w:r>
        <w:t xml:space="preserve">The top-level key is </w:t>
      </w:r>
      <w:r>
        <w:rPr>
          <w:rFonts w:ascii="Consolas" w:hAnsi="Consolas"/>
          <w:sz w:val="19"/>
        </w:rPr>
        <w:t>"https://auth.x.ai::&lt;client_id&gt;"</w:t>
      </w:r>
      <w:r>
        <w:t xml:space="preserve">. Note the access token field is named </w:t>
      </w:r>
      <w:r>
        <w:rPr>
          <w:rFonts w:ascii="Consolas" w:hAnsi="Consolas"/>
          <w:sz w:val="19"/>
        </w:rPr>
        <w:t>key</w:t>
      </w:r>
      <w:r>
        <w:t xml:space="preserve">, not </w:t>
      </w:r>
      <w:r>
        <w:rPr>
          <w:rFonts w:ascii="Consolas" w:hAnsi="Consolas"/>
          <w:sz w:val="19"/>
        </w:rPr>
        <w:t>access_token</w:t>
      </w:r>
      <w:r>
        <w:t>.</w:t>
      </w:r>
    </w:p>
    <w:p>
      <w:r>
        <w:rPr>
          <w:b/>
        </w:rPr>
        <w:t>Build `tradingagents/llm_clients/xai_grok_client.py`:</w:t>
      </w:r>
    </w:p>
    <w:p>
      <w:pPr>
        <w:pStyle w:val="ListBullet"/>
      </w:pPr>
      <w:r>
        <w:t xml:space="preserve">Constants: </w:t>
      </w:r>
      <w:r>
        <w:rPr>
          <w:rFonts w:ascii="Consolas" w:hAnsi="Consolas"/>
          <w:sz w:val="19"/>
        </w:rPr>
        <w:t>CLIENT_ID = "b1a00492-073a-47ea-816f-4c329264a828"</w:t>
      </w:r>
      <w:r>
        <w:t xml:space="preserve">, </w:t>
      </w:r>
      <w:r>
        <w:rPr>
          <w:rFonts w:ascii="Consolas" w:hAnsi="Consolas"/>
          <w:sz w:val="19"/>
        </w:rPr>
        <w:t>TOKEN_URL = "https://auth.x.ai/oauth2/token"</w:t>
      </w:r>
      <w:r>
        <w:t xml:space="preserve">, </w:t>
      </w:r>
      <w:r>
        <w:rPr>
          <w:rFonts w:ascii="Consolas" w:hAnsi="Consolas"/>
          <w:sz w:val="19"/>
        </w:rPr>
        <w:t>BASE_URL = "https://api.x.ai/v1"</w:t>
      </w:r>
      <w:r>
        <w:t>.</w:t>
      </w:r>
    </w:p>
    <w:p>
      <w:pPr>
        <w:pStyle w:val="ListBullet"/>
      </w:pPr>
      <w:r>
        <w:t xml:space="preserve">A hand-rolled </w:t>
      </w:r>
      <w:r>
        <w:rPr>
          <w:rFonts w:ascii="Consolas" w:hAnsi="Consolas"/>
          <w:sz w:val="19"/>
        </w:rPr>
        <w:t>langchain_core.language_models.chat_models.BaseChatModel</w:t>
      </w:r>
      <w:r>
        <w:t xml:space="preserve"> subclass (not a wrapper around an existing LangChain provider) that calls the xAI </w:t>
      </w:r>
      <w:r>
        <w:rPr>
          <w:rFonts w:ascii="Consolas" w:hAnsi="Consolas"/>
          <w:sz w:val="19"/>
        </w:rPr>
        <w:t>/responses</w:t>
      </w:r>
      <w:r>
        <w:t xml:space="preserve"> endpoint via the </w:t>
      </w:r>
      <w:r>
        <w:rPr>
          <w:rFonts w:ascii="Consolas" w:hAnsi="Consolas"/>
          <w:sz w:val="19"/>
        </w:rPr>
        <w:t>openai</w:t>
      </w:r>
      <w:r>
        <w:t xml:space="preserve"> Python SDK's </w:t>
      </w:r>
      <w:r>
        <w:rPr>
          <w:rFonts w:ascii="Consolas" w:hAnsi="Consolas"/>
          <w:sz w:val="19"/>
        </w:rPr>
        <w:t>OpenAI</w:t>
      </w:r>
      <w:r>
        <w:t xml:space="preserve"> client, pointed at </w:t>
      </w:r>
      <w:r>
        <w:rPr>
          <w:rFonts w:ascii="Consolas" w:hAnsi="Consolas"/>
          <w:sz w:val="19"/>
        </w:rPr>
        <w:t>base_url=BASE_URL</w:t>
      </w:r>
      <w:r>
        <w:t>.</w:t>
      </w:r>
    </w:p>
    <w:p>
      <w:pPr>
        <w:pStyle w:val="ListBullet"/>
      </w:pPr>
      <w:r>
        <w:t xml:space="preserve">Read the access token from </w:t>
      </w:r>
      <w:r>
        <w:rPr>
          <w:rFonts w:ascii="Consolas" w:hAnsi="Consolas"/>
          <w:sz w:val="19"/>
        </w:rPr>
        <w:t>~/.grok/auth.json</w:t>
      </w:r>
      <w:r>
        <w:t xml:space="preserve"> under the client-id key described above (env var override to bypass the file: </w:t>
      </w:r>
      <w:r>
        <w:rPr>
          <w:rFonts w:ascii="Consolas" w:hAnsi="Consolas"/>
          <w:sz w:val="19"/>
        </w:rPr>
        <w:t>TRADINGAGENTS_XAI_ACCESS_TOKEN</w:t>
      </w:r>
      <w:r>
        <w:t>).</w:t>
      </w:r>
    </w:p>
    <w:p>
      <w:pPr>
        <w:pStyle w:val="ListBullet"/>
      </w:pPr>
      <w:r>
        <w:t xml:space="preserve">Convert LangChain messages into Responses-API shape: </w:t>
      </w:r>
      <w:r>
        <w:rPr>
          <w:rFonts w:ascii="Consolas" w:hAnsi="Consolas"/>
          <w:sz w:val="19"/>
        </w:rPr>
        <w:t>instructions</w:t>
      </w:r>
      <w:r>
        <w:t xml:space="preserve"> (string, from the system message) and </w:t>
      </w:r>
      <w:r>
        <w:rPr>
          <w:rFonts w:ascii="Consolas" w:hAnsi="Consolas"/>
          <w:sz w:val="19"/>
        </w:rPr>
        <w:t>input</w:t>
      </w:r>
      <w:r>
        <w:t xml:space="preserve"> (list of role/content dicts; assistant tool calls become </w:t>
      </w:r>
      <w:r>
        <w:rPr>
          <w:rFonts w:ascii="Consolas" w:hAnsi="Consolas"/>
          <w:sz w:val="19"/>
        </w:rPr>
        <w:t>function_call</w:t>
      </w:r>
      <w:r>
        <w:t xml:space="preserve"> items with </w:t>
      </w:r>
      <w:r>
        <w:rPr>
          <w:rFonts w:ascii="Consolas" w:hAnsi="Consolas"/>
          <w:sz w:val="19"/>
        </w:rPr>
        <w:t>call_id</w:t>
      </w:r>
      <w:r>
        <w:t>/</w:t>
      </w:r>
      <w:r>
        <w:rPr>
          <w:rFonts w:ascii="Consolas" w:hAnsi="Consolas"/>
          <w:sz w:val="19"/>
        </w:rPr>
        <w:t>name</w:t>
      </w:r>
      <w:r>
        <w:t>/</w:t>
      </w:r>
      <w:r>
        <w:rPr>
          <w:rFonts w:ascii="Consolas" w:hAnsi="Consolas"/>
          <w:sz w:val="19"/>
        </w:rPr>
        <w:t>arguments</w:t>
      </w:r>
      <w:r>
        <w:t xml:space="preserve">; tool results become </w:t>
      </w:r>
      <w:r>
        <w:rPr>
          <w:rFonts w:ascii="Consolas" w:hAnsi="Consolas"/>
          <w:sz w:val="19"/>
        </w:rPr>
        <w:t>function_call_output</w:t>
      </w:r>
      <w:r>
        <w:t xml:space="preserve"> items with </w:t>
      </w:r>
      <w:r>
        <w:rPr>
          <w:rFonts w:ascii="Consolas" w:hAnsi="Consolas"/>
          <w:sz w:val="19"/>
        </w:rPr>
        <w:t>call_id</w:t>
      </w:r>
      <w:r>
        <w:t>/</w:t>
      </w:r>
      <w:r>
        <w:rPr>
          <w:rFonts w:ascii="Consolas" w:hAnsi="Consolas"/>
          <w:sz w:val="19"/>
        </w:rPr>
        <w:t>output</w:t>
      </w:r>
      <w:r>
        <w:t xml:space="preserve">). Call </w:t>
      </w:r>
      <w:r>
        <w:rPr>
          <w:rFonts w:ascii="Consolas" w:hAnsi="Consolas"/>
          <w:sz w:val="19"/>
        </w:rPr>
        <w:t>client.responses.stream(model=..., instructions=..., input=..., store=False, tools=[...])</w:t>
      </w:r>
      <w:r>
        <w:t xml:space="preserve">, collect streamed output items and text, assemble into an </w:t>
      </w:r>
      <w:r>
        <w:rPr>
          <w:rFonts w:ascii="Consolas" w:hAnsi="Consolas"/>
          <w:sz w:val="19"/>
        </w:rPr>
        <w:t>AIMessage</w:t>
      </w:r>
      <w:r>
        <w:t xml:space="preserve"> (parsing any </w:t>
      </w:r>
      <w:r>
        <w:rPr>
          <w:rFonts w:ascii="Consolas" w:hAnsi="Consolas"/>
          <w:sz w:val="19"/>
        </w:rPr>
        <w:t>function_call</w:t>
      </w:r>
      <w:r>
        <w:t xml:space="preserve"> output items into </w:t>
      </w:r>
      <w:r>
        <w:rPr>
          <w:rFonts w:ascii="Consolas" w:hAnsi="Consolas"/>
          <w:sz w:val="19"/>
        </w:rPr>
        <w:t>tool_calls</w:t>
      </w:r>
      <w:r>
        <w:t>).</w:t>
      </w:r>
    </w:p>
    <w:p>
      <w:pPr>
        <w:pStyle w:val="ListBullet"/>
      </w:pPr>
      <w:r>
        <w:rPr>
          <w:b/>
        </w:rPr>
        <w:t>Refresh on auth failure:</w:t>
      </w:r>
      <w:r>
        <w:t xml:space="preserve"> catch </w:t>
      </w:r>
      <w:r>
        <w:rPr>
          <w:rFonts w:ascii="Consolas" w:hAnsi="Consolas"/>
          <w:sz w:val="19"/>
        </w:rPr>
        <w:t>openai.AuthenticationError</w:t>
      </w:r>
      <w:r>
        <w:t xml:space="preserve">; if the message indicates an expired/invalid token, </w:t>
      </w:r>
      <w:r>
        <w:rPr>
          <w:rFonts w:ascii="Consolas" w:hAnsi="Consolas"/>
          <w:sz w:val="19"/>
        </w:rPr>
        <w:t>POST</w:t>
      </w:r>
      <w:r>
        <w:t xml:space="preserve"> to </w:t>
      </w:r>
      <w:r>
        <w:rPr>
          <w:rFonts w:ascii="Consolas" w:hAnsi="Consolas"/>
          <w:sz w:val="19"/>
        </w:rPr>
        <w:t>TOKEN_URL</w:t>
      </w:r>
      <w:r>
        <w:t xml:space="preserve"> with form body </w:t>
      </w:r>
      <w:r>
        <w:rPr>
          <w:rFonts w:ascii="Consolas" w:hAnsi="Consolas"/>
          <w:sz w:val="19"/>
        </w:rPr>
        <w:t>grant_type=refresh_token&amp;refresh_token=&lt;stored&gt;&amp;client_id=&lt;CLIENT_ID&gt;</w:t>
      </w:r>
      <w:r>
        <w:t xml:space="preserve">; on success, write the new </w:t>
      </w:r>
      <w:r>
        <w:rPr>
          <w:rFonts w:ascii="Consolas" w:hAnsi="Consolas"/>
          <w:sz w:val="19"/>
        </w:rPr>
        <w:t>key</w:t>
      </w:r>
      <w:r>
        <w:t xml:space="preserve"> (access token) and </w:t>
      </w:r>
      <w:r>
        <w:rPr>
          <w:rFonts w:ascii="Consolas" w:hAnsi="Consolas"/>
          <w:sz w:val="19"/>
        </w:rPr>
        <w:t>refresh_token</w:t>
      </w:r>
      <w:r>
        <w:t xml:space="preserve"> values back into the same nested object under the same top-level key — update those two fields only, don't rewrite the whole file, since the CLI's own background refresh may touch other fields concurrently. Retry the original request once with the new token.</w:t>
      </w:r>
    </w:p>
    <w:p>
      <w:pPr>
        <w:pStyle w:val="ListBullet"/>
      </w:pPr>
      <w:r>
        <w:t xml:space="preserve">Support </w:t>
      </w:r>
      <w:r>
        <w:rPr>
          <w:rFonts w:ascii="Consolas" w:hAnsi="Consolas"/>
          <w:sz w:val="19"/>
        </w:rPr>
        <w:t>bind_tools()</w:t>
      </w:r>
      <w:r>
        <w:t xml:space="preserve"> (convert bound tools to OpenAI function-call JSON schema) and </w:t>
      </w:r>
      <w:r>
        <w:rPr>
          <w:rFonts w:ascii="Consolas" w:hAnsi="Consolas"/>
          <w:sz w:val="19"/>
        </w:rPr>
        <w:t>with_structured_output(schema)</w:t>
      </w:r>
      <w:r>
        <w:t xml:space="preserve"> — return a wrapper that appends a "respond only with a JSON object matching these field names/types/descriptions" instruction to the system message, and on </w:t>
      </w:r>
      <w:r>
        <w:rPr>
          <w:rFonts w:ascii="Consolas" w:hAnsi="Consolas"/>
          <w:sz w:val="19"/>
        </w:rPr>
        <w:t>.invoke()</w:t>
      </w:r>
      <w:r>
        <w:t xml:space="preserve"> strips markdown code fences from the response text, brace-matches to extract the outermost </w:t>
      </w:r>
      <w:r>
        <w:rPr>
          <w:rFonts w:ascii="Consolas" w:hAnsi="Consolas"/>
          <w:sz w:val="19"/>
        </w:rPr>
        <w:t>{...}</w:t>
      </w:r>
      <w:r>
        <w:t xml:space="preserve"> object, and validates it into the schema with </w:t>
      </w:r>
      <w:r>
        <w:rPr>
          <w:rFonts w:ascii="Consolas" w:hAnsi="Consolas"/>
          <w:sz w:val="19"/>
        </w:rPr>
        <w:t>schema.model_validate()</w:t>
      </w:r>
      <w:r>
        <w:t xml:space="preserve"> (not strict keyword unpacking, so unexpected extra keys don't crash parsing).</w:t>
      </w:r>
    </w:p>
    <w:p>
      <w:pPr>
        <w:pStyle w:val="Heading2"/>
      </w:pPr>
      <w:r>
        <w:t>1b. OpenAI Codex</w:t>
      </w:r>
    </w:p>
    <w:p>
      <w:r>
        <w:rPr>
          <w:b/>
        </w:rPr>
        <w:t>Install and authenticate (manual, human step):</w:t>
      </w:r>
    </w:p>
    <w:p>
      <w:pPr>
        <w:spacing w:after="120"/>
        <w:ind w:left="432"/>
        <w:shd w:fill="F2F2F2"/>
      </w:pPr>
      <w:r>
        <w:rPr>
          <w:rFonts w:ascii="Consolas" w:hAnsi="Consolas"/>
          <w:sz w:val="17"/>
        </w:rPr>
        <w:t># install method depends on platform — e.g. via snap on Linux, or OpenAI's official installer</w:t>
        <w:br/>
        <w:t>codex --version   # verify install</w:t>
        <w:br/>
        <w:t>codex login        # opens a browser, signs in with your ChatGPT/Codex account</w:t>
        <w:br/>
        <w:t>codex login status # confirm</w:t>
      </w:r>
    </w:p>
    <w:p>
      <w:r>
        <w:t xml:space="preserve">Requires a ChatGPT plan with Codex access. Credentials are cached at </w:t>
      </w:r>
      <w:r>
        <w:rPr>
          <w:rFonts w:ascii="Consolas" w:hAnsi="Consolas"/>
          <w:sz w:val="19"/>
        </w:rPr>
        <w:t>~/.codex/auth.json</w:t>
      </w:r>
      <w:r>
        <w:t>.</w:t>
      </w:r>
    </w:p>
    <w:p>
      <w:r>
        <w:rPr>
          <w:b/>
        </w:rPr>
        <w:t>Credential file format</w:t>
      </w:r>
      <w:r>
        <w:t xml:space="preserve"> (</w:t>
      </w:r>
      <w:r>
        <w:rPr>
          <w:rFonts w:ascii="Consolas" w:hAnsi="Consolas"/>
          <w:sz w:val="19"/>
        </w:rPr>
        <w:t>~/.codex/auth.json</w:t>
      </w:r>
      <w:r>
        <w:t>):</w:t>
      </w:r>
    </w:p>
    <w:p>
      <w:pPr>
        <w:spacing w:after="120"/>
        <w:ind w:left="432"/>
        <w:shd w:fill="F2F2F2"/>
      </w:pPr>
      <w:r>
        <w:rPr>
          <w:rFonts w:ascii="Consolas" w:hAnsi="Consolas"/>
          <w:sz w:val="17"/>
        </w:rPr>
        <w:t>{</w:t>
        <w:br/>
        <w:t xml:space="preserve">  "auth_mode": "chatgpt",</w:t>
        <w:br/>
        <w:t xml:space="preserve">  "tokens": {</w:t>
        <w:br/>
        <w:t xml:space="preserve">    "id_token": "&lt;...&gt;",</w:t>
        <w:br/>
        <w:t xml:space="preserve">    "access_token": "&lt;access token&gt;",</w:t>
        <w:br/>
        <w:t xml:space="preserve">    "refresh_token": "&lt;refresh token&gt;",</w:t>
        <w:br/>
        <w:t xml:space="preserve">    "account_id": "&lt;chatgpt account id&gt;"</w:t>
        <w:br/>
        <w:t xml:space="preserve">  },</w:t>
        <w:br/>
        <w:t xml:space="preserve">  "last_refresh": "&lt;ISO8601 timestamp&gt;"</w:t>
        <w:br/>
        <w:t>}</w:t>
      </w:r>
    </w:p>
    <w:p>
      <w:r>
        <w:rPr>
          <w:b/>
        </w:rPr>
        <w:t>Build `tradingagents/llm_clients/openai_codex_client.py`:</w:t>
      </w:r>
    </w:p>
    <w:p>
      <w:pPr>
        <w:pStyle w:val="ListBullet"/>
      </w:pPr>
      <w:r>
        <w:t xml:space="preserve">Constants: </w:t>
      </w:r>
      <w:r>
        <w:rPr>
          <w:rFonts w:ascii="Consolas" w:hAnsi="Consolas"/>
          <w:sz w:val="19"/>
        </w:rPr>
        <w:t>BASE_URL = "https://chatgpt.com/backend-api/codex"</w:t>
      </w:r>
      <w:r>
        <w:t xml:space="preserve">, </w:t>
      </w:r>
      <w:r>
        <w:rPr>
          <w:rFonts w:ascii="Consolas" w:hAnsi="Consolas"/>
          <w:sz w:val="19"/>
        </w:rPr>
        <w:t>TOKEN_URL = "https://auth.openai.com/oauth/token"</w:t>
      </w:r>
      <w:r>
        <w:t xml:space="preserve">, </w:t>
      </w:r>
      <w:r>
        <w:rPr>
          <w:rFonts w:ascii="Consolas" w:hAnsi="Consolas"/>
          <w:sz w:val="19"/>
        </w:rPr>
        <w:t>CLIENT_ID = "app_EMoamEEZ73f0CkXaXp7hrann"</w:t>
      </w:r>
      <w:r>
        <w:t>.</w:t>
      </w:r>
    </w:p>
    <w:p>
      <w:pPr>
        <w:pStyle w:val="ListBullet"/>
      </w:pPr>
      <w:r>
        <w:t xml:space="preserve">Same </w:t>
      </w:r>
      <w:r>
        <w:rPr>
          <w:rFonts w:ascii="Consolas" w:hAnsi="Consolas"/>
          <w:sz w:val="19"/>
        </w:rPr>
        <w:t>BaseChatModel</w:t>
      </w:r>
      <w:r>
        <w:t xml:space="preserve">/Responses-API architecture as the Grok client above. Factor the message-conversion, tool-conversion, JSON-extraction, and structured-output-wrapper logic into shared functions in this module and import them from </w:t>
      </w:r>
      <w:r>
        <w:rPr>
          <w:rFonts w:ascii="Consolas" w:hAnsi="Consolas"/>
          <w:sz w:val="19"/>
        </w:rPr>
        <w:t>xai_grok_client.py</w:t>
      </w:r>
      <w:r>
        <w:t xml:space="preserve"> (or put both in a shared internal module) rather than duplicating — both providers speak the same wire format.</w:t>
      </w:r>
    </w:p>
    <w:p>
      <w:pPr>
        <w:pStyle w:val="ListBullet"/>
      </w:pPr>
      <w:r>
        <w:t xml:space="preserve">Read </w:t>
      </w:r>
      <w:r>
        <w:rPr>
          <w:rFonts w:ascii="Consolas" w:hAnsi="Consolas"/>
          <w:sz w:val="19"/>
        </w:rPr>
        <w:t>tokens.access_token</w:t>
      </w:r>
      <w:r>
        <w:t xml:space="preserve"> / </w:t>
      </w:r>
      <w:r>
        <w:rPr>
          <w:rFonts w:ascii="Consolas" w:hAnsi="Consolas"/>
          <w:sz w:val="19"/>
        </w:rPr>
        <w:t>tokens.refresh_token</w:t>
      </w:r>
      <w:r>
        <w:t xml:space="preserve"> from </w:t>
      </w:r>
      <w:r>
        <w:rPr>
          <w:rFonts w:ascii="Consolas" w:hAnsi="Consolas"/>
          <w:sz w:val="19"/>
        </w:rPr>
        <w:t>~/.codex/auth.json</w:t>
      </w:r>
      <w:r>
        <w:t xml:space="preserve"> (env var overrides: </w:t>
      </w:r>
      <w:r>
        <w:rPr>
          <w:rFonts w:ascii="Consolas" w:hAnsi="Consolas"/>
          <w:sz w:val="19"/>
        </w:rPr>
        <w:t>TRADINGAGENTS_CODEX_ACCESS_TOKEN</w:t>
      </w:r>
      <w:r>
        <w:t xml:space="preserve"> for the token directly, </w:t>
      </w:r>
      <w:r>
        <w:rPr>
          <w:rFonts w:ascii="Consolas" w:hAnsi="Consolas"/>
          <w:sz w:val="19"/>
        </w:rPr>
        <w:t>TRADINGAGENTS_CODEX_AUTH_FILE</w:t>
      </w:r>
      <w:r>
        <w:t xml:space="preserve"> for a different file path).</w:t>
      </w:r>
    </w:p>
    <w:p>
      <w:pPr>
        <w:pStyle w:val="ListBullet"/>
      </w:pPr>
      <w:r>
        <w:t xml:space="preserve">Extra request headers: a descriptive </w:t>
      </w:r>
      <w:r>
        <w:rPr>
          <w:rFonts w:ascii="Consolas" w:hAnsi="Consolas"/>
          <w:sz w:val="19"/>
        </w:rPr>
        <w:t>User-Agent</w:t>
      </w:r>
      <w:r>
        <w:t xml:space="preserve">, an </w:t>
      </w:r>
      <w:r>
        <w:rPr>
          <w:rFonts w:ascii="Consolas" w:hAnsi="Consolas"/>
          <w:sz w:val="19"/>
        </w:rPr>
        <w:t>originator</w:t>
      </w:r>
      <w:r>
        <w:t xml:space="preserve"> header identifying the client, and </w:t>
      </w:r>
      <w:r>
        <w:rPr>
          <w:rFonts w:ascii="Consolas" w:hAnsi="Consolas"/>
          <w:sz w:val="19"/>
        </w:rPr>
        <w:t>ChatGPT-Account-ID: &lt;account id&gt;</w:t>
      </w:r>
      <w:r>
        <w:t xml:space="preserve"> — read </w:t>
      </w:r>
      <w:r>
        <w:rPr>
          <w:rFonts w:ascii="Consolas" w:hAnsi="Consolas"/>
          <w:sz w:val="19"/>
        </w:rPr>
        <w:t>tokens.account_id</w:t>
      </w:r>
      <w:r>
        <w:t xml:space="preserve"> directly from the auth file if present, otherwise decode the JWT access token's payload (base64url-decode the middle segment, no signature check needed) and read the account id claim from it.</w:t>
      </w:r>
    </w:p>
    <w:p>
      <w:pPr>
        <w:pStyle w:val="ListBullet"/>
      </w:pPr>
      <w:r>
        <w:rPr>
          <w:b/>
        </w:rPr>
        <w:t>Refresh on auth failure:</w:t>
      </w:r>
      <w:r>
        <w:t xml:space="preserve"> catch </w:t>
      </w:r>
      <w:r>
        <w:rPr>
          <w:rFonts w:ascii="Consolas" w:hAnsi="Consolas"/>
          <w:sz w:val="19"/>
        </w:rPr>
        <w:t>openai.AuthenticationError</w:t>
      </w:r>
      <w:r>
        <w:t xml:space="preserve"> where the message indicates an expired token; </w:t>
      </w:r>
      <w:r>
        <w:rPr>
          <w:rFonts w:ascii="Consolas" w:hAnsi="Consolas"/>
          <w:sz w:val="19"/>
        </w:rPr>
        <w:t>POST</w:t>
      </w:r>
      <w:r>
        <w:t xml:space="preserve"> to </w:t>
      </w:r>
      <w:r>
        <w:rPr>
          <w:rFonts w:ascii="Consolas" w:hAnsi="Consolas"/>
          <w:sz w:val="19"/>
        </w:rPr>
        <w:t>TOKEN_URL</w:t>
      </w:r>
      <w:r>
        <w:t xml:space="preserve"> with `grant_type=refresh_token&amp;refresh_token=&lt;stored</w:t>
      </w:r>
    </w:p>
    <w:p>
      <w:pPr>
        <w:ind w:left="432"/>
      </w:pPr>
      <w:r>
        <w:rPr>
          <w:i/>
          <w:color w:val="555555"/>
        </w:rPr>
        <w:t>&amp;client_id=&lt;CLIENT_ID&gt;</w:t>
      </w:r>
      <w:r>
        <w:rPr>
          <w:rFonts w:ascii="Consolas" w:hAnsi="Consolas"/>
          <w:i/>
          <w:color w:val="555555"/>
          <w:sz w:val="19"/>
        </w:rPr>
        <w:t xml:space="preserve">; write the new </w:t>
      </w:r>
      <w:r>
        <w:rPr>
          <w:i/>
          <w:color w:val="555555"/>
        </w:rPr>
        <w:t>access_token</w:t>
      </w:r>
      <w:r>
        <w:rPr>
          <w:rFonts w:ascii="Consolas" w:hAnsi="Consolas"/>
          <w:i/>
          <w:color w:val="555555"/>
          <w:sz w:val="19"/>
        </w:rPr>
        <w:t>/</w:t>
      </w:r>
      <w:r>
        <w:rPr>
          <w:i/>
          <w:color w:val="555555"/>
        </w:rPr>
        <w:t>refresh_token` back into the same</w:t>
      </w:r>
    </w:p>
    <w:p>
      <w:r>
        <w:rPr>
          <w:rFonts w:ascii="Consolas" w:hAnsi="Consolas"/>
          <w:sz w:val="19"/>
        </w:rPr>
        <w:t>tokens</w:t>
      </w:r>
      <w:r>
        <w:t xml:space="preserve"> object, retry once. This file is shared with any interactive Codex CLI sessions on the same machine — refreshing it here also keeps those sessions' login fresh, which is harmless.</w:t>
      </w:r>
    </w:p>
    <w:p>
      <w:pPr>
        <w:pStyle w:val="ListBullet"/>
      </w:pPr>
      <w:r>
        <w:t xml:space="preserve">Same Responses-API streaming/parsing logic as the Grok client. Optionally, if a </w:t>
      </w:r>
      <w:r>
        <w:rPr>
          <w:rFonts w:ascii="Consolas" w:hAnsi="Consolas"/>
          <w:sz w:val="19"/>
        </w:rPr>
        <w:t>reasoning_effort</w:t>
      </w:r>
      <w:r>
        <w:t xml:space="preserve"> kwarg is passed, add </w:t>
      </w:r>
      <w:r>
        <w:rPr>
          <w:rFonts w:ascii="Consolas" w:hAnsi="Consolas"/>
          <w:sz w:val="19"/>
        </w:rPr>
        <w:t>{"reasoning": {"effort": ..., "summary": "auto"}, "include": ["reasoning.encrypted_content"]}</w:t>
      </w:r>
      <w:r>
        <w:t xml:space="preserve"> to the request.</w:t>
      </w:r>
    </w:p>
    <w:p>
      <w:pPr>
        <w:pStyle w:val="Heading2"/>
      </w:pPr>
      <w:r>
        <w:t>1c. Wire both providers into the client factory</w:t>
      </w:r>
    </w:p>
    <w:p>
      <w:pPr>
        <w:pStyle w:val="ListBullet"/>
      </w:pPr>
      <w:r>
        <w:rPr>
          <w:rFonts w:ascii="Consolas" w:hAnsi="Consolas"/>
          <w:sz w:val="19"/>
        </w:rPr>
        <w:t>tradingagents/llm_clients/factory.py</w:t>
      </w:r>
      <w:r>
        <w:t xml:space="preserve"> — in </w:t>
      </w:r>
      <w:r>
        <w:rPr>
          <w:rFonts w:ascii="Consolas" w:hAnsi="Consolas"/>
          <w:sz w:val="19"/>
        </w:rPr>
        <w:t>create_llm_client()</w:t>
      </w:r>
      <w:r>
        <w:t>, add early dispatch branches (before any generic OpenAI-compatible fallback) for both provider names:</w:t>
      </w:r>
    </w:p>
    <w:p>
      <w:pPr>
        <w:spacing w:after="120"/>
        <w:ind w:left="432"/>
        <w:shd w:fill="F2F2F2"/>
      </w:pPr>
      <w:r>
        <w:rPr>
          <w:rFonts w:ascii="Consolas" w:hAnsi="Consolas"/>
          <w:sz w:val="17"/>
        </w:rPr>
        <w:t xml:space="preserve">  if provider_lower == "xai-grok":</w:t>
        <w:br/>
        <w:t xml:space="preserve">      from .xai_grok_client import XAIGrokClient</w:t>
        <w:br/>
        <w:t xml:space="preserve">      return XAIGrokClient(model, base_url, **kwargs)</w:t>
        <w:br/>
        <w:br/>
        <w:t xml:space="preserve">  if provider_lower == "openai-codex":</w:t>
        <w:br/>
        <w:t xml:space="preserve">      from .openai_codex_client import OpenAICodexClient</w:t>
        <w:br/>
        <w:t xml:space="preserve">      return OpenAICodexClient(model, base_url, **kwargs)</w:t>
      </w:r>
    </w:p>
    <w:p>
      <w:pPr>
        <w:pStyle w:val="ListBullet"/>
      </w:pPr>
      <w:r>
        <w:rPr>
          <w:rFonts w:ascii="Consolas" w:hAnsi="Consolas"/>
          <w:sz w:val="19"/>
        </w:rPr>
        <w:t>model_catalog.py</w:t>
      </w:r>
      <w:r>
        <w:t xml:space="preserve"> — add quick/deep model-list entries for both provider names (include a "Custom model ID" option in each list so any account-specific model becomes selectable even if it's not in the hardcoded list).</w:t>
      </w:r>
    </w:p>
    <w:p>
      <w:pPr>
        <w:pStyle w:val="ListBullet"/>
      </w:pPr>
      <w:r>
        <w:rPr>
          <w:rFonts w:ascii="Consolas" w:hAnsi="Consolas"/>
          <w:sz w:val="19"/>
        </w:rPr>
        <w:t>api_key_env.py</w:t>
      </w:r>
      <w:r>
        <w:t xml:space="preserve"> — map both provider names to </w:t>
      </w:r>
      <w:r>
        <w:rPr>
          <w:rFonts w:ascii="Consolas" w:hAnsi="Consolas"/>
          <w:sz w:val="19"/>
        </w:rPr>
        <w:t>None</w:t>
      </w:r>
      <w:r>
        <w:t xml:space="preserve"> (no API-key environment-variable prompt; authentication is entirely file-based).</w:t>
      </w:r>
    </w:p>
    <w:p>
      <w:pPr>
        <w:pStyle w:val="ListBullet"/>
      </w:pPr>
      <w:r>
        <w:rPr>
          <w:rFonts w:ascii="Consolas" w:hAnsi="Consolas"/>
          <w:sz w:val="19"/>
        </w:rPr>
        <w:t>cli/utils.py</w:t>
      </w:r>
      <w:r>
        <w:t xml:space="preserve"> — add both providers to the interactive provider-picker list.</w:t>
      </w:r>
    </w:p>
    <w:p>
      <w:pPr>
        <w:pStyle w:val="ListBullet"/>
      </w:pPr>
      <w:r>
        <w:t xml:space="preserve">Each client class extends the project's </w:t>
      </w:r>
      <w:r>
        <w:rPr>
          <w:rFonts w:ascii="Consolas" w:hAnsi="Consolas"/>
          <w:sz w:val="19"/>
        </w:rPr>
        <w:t>BaseLLMClient</w:t>
      </w:r>
      <w:r>
        <w:t xml:space="preserve"> (constructor takes </w:t>
      </w:r>
      <w:r>
        <w:rPr>
          <w:rFonts w:ascii="Consolas" w:hAnsi="Consolas"/>
          <w:sz w:val="19"/>
        </w:rPr>
        <w:t>model, base_url=None, **kwargs</w:t>
      </w:r>
      <w:r>
        <w:t xml:space="preserve">), implements </w:t>
      </w:r>
      <w:r>
        <w:rPr>
          <w:rFonts w:ascii="Consolas" w:hAnsi="Consolas"/>
          <w:sz w:val="19"/>
        </w:rPr>
        <w:t>get_llm()</w:t>
      </w:r>
      <w:r>
        <w:t xml:space="preserve"> returning the configured chat model instance, and </w:t>
      </w:r>
      <w:r>
        <w:rPr>
          <w:rFonts w:ascii="Consolas" w:hAnsi="Consolas"/>
          <w:sz w:val="19"/>
        </w:rPr>
        <w:t>validate_model()</w:t>
      </w:r>
      <w:r>
        <w:t xml:space="preserve"> (can simply return </w:t>
      </w:r>
      <w:r>
        <w:rPr>
          <w:rFonts w:ascii="Consolas" w:hAnsi="Consolas"/>
          <w:sz w:val="19"/>
        </w:rPr>
        <w:t>True</w:t>
      </w:r>
      <w:r>
        <w:t xml:space="preserve"> — Grok/Codex model allow-lists are account-dependent and move faster than any hardcoded validation list would keep up with).</w:t>
      </w:r>
    </w:p>
    <w:p>
      <w:r>
        <w:rPr>
          <w:b/>
        </w:rPr>
        <w:t>Note on OAuth client IDs:</w:t>
      </w:r>
      <w:r>
        <w:t xml:space="preserve"> the </w:t>
      </w:r>
      <w:r>
        <w:rPr>
          <w:rFonts w:ascii="Consolas" w:hAnsi="Consolas"/>
          <w:sz w:val="19"/>
        </w:rPr>
        <w:t>client_id</w:t>
      </w:r>
      <w:r>
        <w:t xml:space="preserve"> values above are public application identifiers for the official Grok and Codex CLIs — the same value for every install of those CLIs, not tied to any individual account or machine. They are safe to hardcode. What must never be hardcoded or shared is the </w:t>
      </w:r>
      <w:r>
        <w:rPr>
          <w:rFonts w:ascii="Consolas" w:hAnsi="Consolas"/>
          <w:sz w:val="19"/>
        </w:rPr>
        <w:t>access_token</w:t>
      </w:r>
      <w:r>
        <w:t>/</w:t>
      </w:r>
      <w:r>
        <w:rPr>
          <w:rFonts w:ascii="Consolas" w:hAnsi="Consolas"/>
          <w:sz w:val="19"/>
        </w:rPr>
        <w:t>refresh_token</w:t>
      </w:r>
      <w:r>
        <w:t xml:space="preserve"> pair each </w:t>
      </w:r>
      <w:r>
        <w:rPr>
          <w:rFonts w:ascii="Consolas" w:hAnsi="Consolas"/>
          <w:sz w:val="19"/>
        </w:rPr>
        <w:t>auth.json</w:t>
      </w:r>
      <w:r>
        <w:t xml:space="preserve"> file holds — those are account-specific and are generated fresh by each person's own login.</w:t>
      </w:r>
    </w:p>
    <w:p>
      <w:pPr>
        <w:pStyle w:val="Heading1"/>
      </w:pPr>
      <w:r>
        <w:t>Step 2 — Core OHLCV data-fetch robustness fixes</w:t>
      </w:r>
    </w:p>
    <w:p>
      <w:r>
        <w:rPr>
          <w:b/>
        </w:rPr>
        <w:t>What it is:</w:t>
      </w:r>
      <w:r>
        <w:t xml:space="preserve"> Two fixes in the price-data pipeline:</w:t>
      </w:r>
    </w:p>
    <w:p>
      <w:pPr>
        <w:pStyle w:val="ListBullet"/>
      </w:pPr>
      <w:r>
        <w:t>In the OHLCV fetch function, the underlying data-fetch library treats the end date as exclusive, so when the end date falls on a weekend the preceding trading day's close can get silently dropped. Fix: extend the fetch window by a few days past the requested end date, then trim any rows after the real end date back off (preserving look-ahead-bias prevention while ensuring the last real trading day is always included).</w:t>
      </w:r>
    </w:p>
    <w:p>
      <w:pPr>
        <w:pStyle w:val="ListBullet"/>
      </w:pPr>
      <w:r>
        <w:t xml:space="preserve">The indicator-cache loader should treat a cached file with </w:t>
      </w:r>
      <w:r>
        <w:rPr>
          <w:b/>
        </w:rPr>
        <w:t>zero data rows</w:t>
      </w:r>
      <w:r>
        <w:t xml:space="preserve"> as stale and re-fetch it, rather than trusting an empty cache forever. Separately, when the requested date is a weekend/holiday, fall back to the </w:t>
      </w:r>
      <w:r>
        <w:rPr>
          <w:b/>
        </w:rPr>
        <w:t>most recent trading day's</w:t>
      </w:r>
      <w:r>
        <w:t xml:space="preserve"> indicator value instead of returning a bare "not a trading day" placeholder string.</w:t>
      </w:r>
    </w:p>
    <w:p>
      <w:r>
        <w:rPr>
          <w:b/>
        </w:rPr>
        <w:t>Why it matters for ASX:</w:t>
      </w:r>
      <w:r>
        <w:t xml:space="preserve"> Not ASX-specific in mechanism, but the bug bites far more often if batch runs are scheduled on non-US-market days (e.g. weekend batches, or timezone-shifted schedules) — the whole point of a scheduled batch is that every ticker gets a valid latest-day indicator value, not a chain of placeholder strings that starve the analysis of data.</w:t>
      </w:r>
    </w:p>
    <w:p>
      <w:r>
        <w:rPr>
          <w:b/>
        </w:rPr>
        <w:t>Steps:</w:t>
      </w:r>
    </w:p>
    <w:p>
      <w:pPr>
        <w:pStyle w:val="ListNumber"/>
      </w:pPr>
      <w:r>
        <w:t>In the OHLCV fetch function: compute an extended fetch end date (</w:t>
      </w:r>
      <w:r>
        <w:rPr>
          <w:rFonts w:ascii="Consolas" w:hAnsi="Consolas"/>
          <w:sz w:val="19"/>
        </w:rPr>
        <w:t>requested_end + ~3 days</w:t>
      </w:r>
      <w:r>
        <w:t>), fetch through that extended window, then filter the result back down to rows at or before the originally requested end date (respecting timezone localization).</w:t>
      </w:r>
    </w:p>
    <w:p>
      <w:pPr>
        <w:pStyle w:val="ListNumber"/>
      </w:pPr>
      <w:r>
        <w:t xml:space="preserve">In the indicator-cache loader: after reading an existing cache file, treat </w:t>
      </w:r>
      <w:r>
        <w:rPr>
          <w:rFonts w:ascii="Consolas" w:hAnsi="Consolas"/>
          <w:sz w:val="19"/>
        </w:rPr>
        <w:t>len(data) == 0</w:t>
      </w:r>
      <w:r>
        <w:t xml:space="preserve"> the same as "file doesn't exist" so it re-fetches rather than trusting an empty file forever. In the stats lookup function, when no row matches the requested date, fall back to the last available row instead of returning a placeholder string.</w:t>
      </w:r>
    </w:p>
    <w:p>
      <w:pPr>
        <w:pStyle w:val="Heading1"/>
      </w:pPr>
      <w:r>
        <w:t>Step 3 — News data: local-market news source integration</w:t>
      </w:r>
    </w:p>
    <w:p>
      <w:r>
        <w:rPr>
          <w:b/>
        </w:rPr>
        <w:t>What it is:</w:t>
      </w:r>
      <w:r>
        <w:t xml:space="preserve"> A news source built on a national financial-news outlet's public sitemap feed (most major papers publish one — check the target outlet's </w:t>
      </w:r>
      <w:r>
        <w:rPr>
          <w:rFonts w:ascii="Consolas" w:hAnsi="Consolas"/>
          <w:sz w:val="19"/>
        </w:rPr>
        <w:t>robots.txt</w:t>
      </w:r>
      <w:r>
        <w:t xml:space="preserve"> for a machine-readable sitemap URL), ingested into a local SQLite store, tagged per-ticker against a watchlist, and lightly sentiment-classified by keyword matching (not an LLM call — a phrase-list/word-set scoring function is enough and keeps the ingestion cheap to run frequently).</w:t>
      </w:r>
    </w:p>
    <w:p>
      <w:r>
        <w:rPr>
          <w:b/>
        </w:rPr>
        <w:t>Why it matters for ASX:</w:t>
      </w:r>
      <w:r>
        <w:t xml:space="preserve"> Generic financial-data APIs (Yahoo Finance and similar) have very thin news coverage of ASX-listed companies. A local financial-news outlet's own site typically has far better coverage, and if it exposes a public sitemap, that's a free, structured, no-auth data source. Because these sitemaps typically only retain the most recent couple hundred articles, a periodically-run scanner is needed to accumulate history the news analyst can query later.</w:t>
      </w:r>
    </w:p>
    <w:p>
      <w:r>
        <w:rPr>
          <w:b/>
        </w:rPr>
        <w:t>Steps:</w:t>
      </w:r>
    </w:p>
    <w:p>
      <w:pPr>
        <w:pStyle w:val="ListNumber"/>
      </w:pPr>
      <w:r>
        <w:t xml:space="preserve">Build a module that: (a) fetches and parses the sitemap XML on a schedule, (b) stores headlines in SQLite with a </w:t>
      </w:r>
      <w:r>
        <w:rPr>
          <w:rFonts w:ascii="Consolas" w:hAnsi="Consolas"/>
          <w:sz w:val="19"/>
        </w:rPr>
        <w:t>(url, title, publish_date, scraped_at, sentiment)</w:t>
      </w:r>
      <w:r>
        <w:t xml:space="preserve"> table plus a many-to-many </w:t>
      </w:r>
      <w:r>
        <w:rPr>
          <w:rFonts w:ascii="Consolas" w:hAnsi="Consolas"/>
          <w:sz w:val="19"/>
        </w:rPr>
        <w:t>(headline_url, ticker)</w:t>
      </w:r>
      <w:r>
        <w:t xml:space="preserve"> tagging table, (c) classifies sentiment via a small phrase-list/word-set scorer (net positive/negative word weight decides the label, ties are neutral), (d) tags each incoming headline against every watchlist ticker whose search terms (bare ticker code plus significant words from the company name, stripped of generic corporate-suffix stopwords) appear in the title or URL.</w:t>
      </w:r>
    </w:p>
    <w:p>
      <w:pPr>
        <w:pStyle w:val="ListNumber"/>
      </w:pPr>
      <w:r>
        <w:t>Build a "fetch headlines for ticker X between date A and B" function that queries the local store first, and falls back to a live sitemap fetch/filter if the store has zero matching rows (e.g. the scanner hasn't run yet) — the news analyst should never see a truly empty block just because of ingestion timing.</w:t>
      </w:r>
    </w:p>
    <w:p>
      <w:pPr>
        <w:pStyle w:val="ListNumber"/>
      </w:pPr>
      <w:r>
        <w:t>Build a small CLI wrapper for the scanner (a no-argument "scan" default subcommand suitable for cron, plus query/watchlist-management subcommands). Store the watchlist as a JSON list of tickers; resolve and cache company names once via the market-data library already in use elsewhere in the project.</w:t>
      </w:r>
    </w:p>
    <w:p>
      <w:pPr>
        <w:pStyle w:val="ListNumber"/>
      </w:pPr>
      <w:r>
        <w:t xml:space="preserve">In the news analyst's prompt, for ASX tickers, pre-fetch the last ~14 days of local-source headlines and inject them as an extra prompt block. Add an explicit </w:t>
      </w:r>
      <w:r>
        <w:rPr>
          <w:b/>
        </w:rPr>
        <w:t>"news vacuum rule":</w:t>
      </w:r>
      <w:r>
        <w:t xml:space="preserve"> if there has been no material company-specific news in the lookback window, the analyst must say so explicitly and treat it as neutral — a positive macro/sector backdrop alone must not be used to justify a bullish signal for the individual company.</w:t>
      </w:r>
    </w:p>
    <w:p>
      <w:pPr>
        <w:pStyle w:val="ListNumber"/>
      </w:pPr>
      <w:r>
        <w:t>Also harden the general news-fetch function to fall back to the most recent available articles (with an explicit "date mismatch" note in the output) when nothing falls inside the requested lookback window — common for less-frequently-covered tickers between earnings/announcements.</w:t>
      </w:r>
    </w:p>
    <w:p>
      <w:pPr>
        <w:pStyle w:val="ListNumber"/>
      </w:pPr>
      <w:r>
        <w:t>Seed the local store once manually before relying on the scheduled scan (see Step 11 for scheduling).</w:t>
      </w:r>
    </w:p>
    <w:p>
      <w:pPr>
        <w:pStyle w:val="Heading1"/>
      </w:pPr>
      <w:r>
        <w:t>Step 4 — Sentiment data sources: local retail-sentiment source, drop US-centric sources for local tickers</w:t>
      </w:r>
    </w:p>
    <w:p>
      <w:r>
        <w:rPr>
          <w:b/>
        </w:rPr>
        <w:t>What it is:</w:t>
      </w:r>
    </w:p>
    <w:p>
      <w:pPr>
        <w:pStyle w:val="ListBullet"/>
      </w:pPr>
      <w:r>
        <w:t>Add a scraper for a local retail-investor forum/message-board site (ASX has a well-known one; find the equivalent for your target market) — pull recent thread titles, dates, and any bullish/bearish sentiment badges the site exposes, distinguishing official announcement-related threads from general discussion. Degrade gracefully to a placeholder string on any fetch failure rather than raising.</w:t>
      </w:r>
    </w:p>
    <w:p>
      <w:pPr>
        <w:pStyle w:val="ListBullet"/>
      </w:pPr>
      <w:r>
        <w:t xml:space="preserve">Keep a generic social-sentiment source (e.g. StockTwits) for </w:t>
      </w:r>
      <w:r>
        <w:rPr>
          <w:b/>
        </w:rPr>
        <w:t>non-local</w:t>
      </w:r>
      <w:r>
        <w:t xml:space="preserve"> tickers only — for ASX tickers, skip it. Generic sources typically use bare ticker symbols with no exchange disambiguation, so local codes can collide with unrelated tickers on other exchanges (a real example encountered: a small-cap ASX resources ticker's symbol collided with a US airline, pulling in completely unrelated sentiment; large ASX miners' data was dominated by US-listed depositary-receipt traders rather than local market participants).</w:t>
      </w:r>
    </w:p>
    <w:p>
      <w:pPr>
        <w:pStyle w:val="ListBullet"/>
      </w:pPr>
      <w:r>
        <w:t>If you evaluate a general discussion platform (e.g. Reddit) for local-market subreddits, note that region-specific subreddits may still not carry enough signal to be worth the added complexity — validate before committing engineering time to it.</w:t>
      </w:r>
    </w:p>
    <w:p>
      <w:r>
        <w:rPr>
          <w:b/>
        </w:rPr>
        <w:t>Why it matters for ASX:</w:t>
      </w:r>
      <w:r>
        <w:t xml:space="preserve"> Local retail sentiment concentrates on local platforms, not generic US-centric ones, and generic-source symbol collisions actively mislead an analyst that isn't aware of them.</w:t>
      </w:r>
    </w:p>
    <w:p>
      <w:r>
        <w:rPr>
          <w:b/>
        </w:rPr>
        <w:t>Steps:</w:t>
      </w:r>
    </w:p>
    <w:p>
      <w:pPr>
        <w:pStyle w:val="ListNumber"/>
      </w:pPr>
      <w:r>
        <w:t>Build the local-forum scraper module with a "fetch recent posts for ticker" function returning a formatted plaintext block (or a placeholder string on failure).</w:t>
      </w:r>
    </w:p>
    <w:p>
      <w:pPr>
        <w:pStyle w:val="ListNumber"/>
      </w:pPr>
      <w:r>
        <w:t>In the sentiment analyst: detect local-market tickers by suffix/exchange code; call the generic social source only for non-local tickers, call the local-forum source only for local tickers. Build the system-message prompt with a news section always present, plus whichever of the two sentiment sources returned data.</w:t>
      </w:r>
    </w:p>
    <w:p>
      <w:pPr>
        <w:pStyle w:val="ListNumber"/>
      </w:pPr>
      <w:r>
        <w:t>Keep the source-count shown to the LLM computed dynamically from which blocks are actually present, not hardcoded.</w:t>
      </w:r>
    </w:p>
    <w:p>
      <w:pPr>
        <w:pStyle w:val="Heading1"/>
      </w:pPr>
      <w:r>
        <w:t>Step 5 — Short interest analyst: a new analyst type for markets with public short-position disclosure</w:t>
      </w:r>
    </w:p>
    <w:p>
      <w:r>
        <w:rPr>
          <w:b/>
        </w:rPr>
        <w:t>What it is:</w:t>
      </w:r>
      <w:r>
        <w:t xml:space="preserve"> If your target market has a regulator-mandated short-position disclosure regime (ASX does, via ASIC), add a dedicated analyst for it:</w:t>
      </w:r>
    </w:p>
    <w:p>
      <w:pPr>
        <w:pStyle w:val="ListBullet"/>
      </w:pPr>
      <w:r>
        <w:t>A data-fetch module for whatever public short-interest data API/source is available for your market: current snapshot (percentage shorted, shares short, notional liability, rank among most-shorted names, rank change) and a historical daily time series. Format both into a plaintext prompt block; return an explicit "not applicable" placeholder for tickers outside the covered market, and an "unavailable" placeholder on fetch failure — never raise.</w:t>
      </w:r>
    </w:p>
    <w:p>
      <w:pPr>
        <w:pStyle w:val="ListBullet"/>
      </w:pPr>
      <w:r>
        <w:t>A new analyst node that pre-fetches this block (no tool-calling needed — same "everything's already assembled in the prompt" pattern as the sentiment analyst) and asks the LLM to interpret it against explicit benchmark bands (e.g. under 1% minimal, 1–3% low, 3–6% elevated, 6–10% high, over 10% very high shorted), with guidance that rising short interest signals growing bearish conviction (or a crowded trade vulnerable to a squeeze) and falling short interest signals bears covering. If the data source exposes securities-lending counterparties, note that large institutional lenders/borrowers can be read as informed positioning. If the disclosure regime has a reporting lag (ASIC's is a few trading days), say so explicitly in the prompt.</w:t>
      </w:r>
    </w:p>
    <w:p>
      <w:r>
        <w:rPr>
          <w:b/>
        </w:rPr>
        <w:t>Wiring into the analysis graph:</w:t>
      </w:r>
    </w:p>
    <w:p>
      <w:pPr>
        <w:pStyle w:val="ListBullet"/>
      </w:pPr>
      <w:r>
        <w:t>Add the new report field to the shared agent state.</w:t>
      </w:r>
    </w:p>
    <w:p>
      <w:pPr>
        <w:pStyle w:val="ListBullet"/>
      </w:pPr>
      <w:r>
        <w:t>Add a graph-routing method for the new analyst mirroring the pattern used for the other analysts, even though this analyst doesn't make tool calls itself — the graph wiring requires the pattern to be present. Wire an empty tool node for it.</w:t>
      </w:r>
    </w:p>
    <w:p>
      <w:pPr>
        <w:pStyle w:val="ListBullet"/>
      </w:pPr>
      <w:r>
        <w:t>Add the new analyst to the default analyst list and thread its report field through to the final decision output.</w:t>
      </w:r>
    </w:p>
    <w:p>
      <w:pPr>
        <w:pStyle w:val="ListBullet"/>
      </w:pPr>
      <w:r>
        <w:t>Have both the bull and bear researcher prompts read and incorporate the short-interest report: bear researcher treats rising/elevated short interest as informed negative conviction; bull researcher treats falling/low short interest as bullish (a signal shorts are covering) and flags potential squeeze setups.</w:t>
      </w:r>
    </w:p>
    <w:p>
      <w:pPr>
        <w:pStyle w:val="ListBullet"/>
      </w:pPr>
      <w:r>
        <w:t>If you're building a web dashboard (Step 10), add the new report field to whatever report-rendering config lists the other analyst reports, and add the analyst to the default analyst-selection list there too.</w:t>
      </w:r>
    </w:p>
    <w:p>
      <w:r>
        <w:rPr>
          <w:b/>
        </w:rPr>
        <w:t>Why it matters for ASX:</w:t>
      </w:r>
      <w:r>
        <w:t xml:space="preserve"> ASIC-mandated short-position disclosure is a rich, market-specific signal with no equivalent in a US-market-only build, and (depending on the data source) can be available for free with no authentication.</w:t>
      </w:r>
    </w:p>
    <w:p>
      <w:pPr>
        <w:pStyle w:val="Heading1"/>
      </w:pPr>
      <w:r>
        <w:t>Step 6 — Supporting data scripts: company metadata cache and index-constituent list</w:t>
      </w:r>
    </w:p>
    <w:p>
      <w:r>
        <w:rPr>
          <w:b/>
        </w:rPr>
        <w:t>What they are:</w:t>
      </w:r>
    </w:p>
    <w:p>
      <w:pPr>
        <w:pStyle w:val="ListBullet"/>
      </w:pPr>
      <w:r>
        <w:t xml:space="preserve">A script that pulls per-ticker metadata (name, sector, key fundamentals, description) from whatever data source you're using and caches it as one JSON file per ticker, to back a company-info API endpoint. Skip already-cached tickers unless a </w:t>
      </w:r>
      <w:r>
        <w:rPr>
          <w:rFonts w:ascii="Consolas" w:hAnsi="Consolas"/>
          <w:sz w:val="19"/>
        </w:rPr>
        <w:t>--force</w:t>
      </w:r>
      <w:r>
        <w:t xml:space="preserve"> flag is passed; add a small delay between requests to be a polite API consumer.</w:t>
      </w:r>
    </w:p>
    <w:p>
      <w:pPr>
        <w:pStyle w:val="ListBullet"/>
      </w:pPr>
      <w:r>
        <w:t>A script that builds and maintains a maintained list of your target index's constituent tickers — e.g. by downloading published ETF-holdings files for an index-tracking ETF (many index providers publish holdings spreadsheets for their tracker funds, which is a low-friction way to get an accurate, regularly-updated constituent list without scraping a fragile HTML table). Convert ticker formats as needed, dedupe, and write to a plain text list file. Re-run periodically (e.g. monthly/quarterly) to track index rebalances.</w:t>
      </w:r>
    </w:p>
    <w:p>
      <w:pPr>
        <w:pStyle w:val="ListBullet"/>
      </w:pPr>
      <w:r>
        <w:t>Have your batch runner (Step 11) load tickers from this maintained list, with a fallback to scraping a public index-membership page if the list file doesn't exist yet.</w:t>
      </w:r>
    </w:p>
    <w:p>
      <w:r>
        <w:rPr>
          <w:b/>
        </w:rPr>
        <w:t>Why it matters for ASX:</w:t>
      </w:r>
      <w:r>
        <w:t xml:space="preserve"> A generic project has no built-in concept of "run this against every constituent of an index" — building a maintained ASX-index ticker universe, plus per-company metadata for a web dashboard's search/sidebar features, is ASX-specific infrastructure with no upstream equivalent.</w:t>
      </w:r>
    </w:p>
    <w:p>
      <w:r>
        <w:rPr>
          <w:b/>
        </w:rPr>
        <w:t>Steps:</w:t>
      </w:r>
    </w:p>
    <w:p>
      <w:pPr>
        <w:pStyle w:val="ListNumber"/>
      </w:pPr>
      <w:r>
        <w:t>Build both scripts as described.</w:t>
      </w:r>
    </w:p>
    <w:p>
      <w:pPr>
        <w:pStyle w:val="ListNumber"/>
      </w:pPr>
      <w:r>
        <w:t>Run the index-constituent script once to seed the ticker list file.</w:t>
      </w:r>
    </w:p>
    <w:p>
      <w:pPr>
        <w:pStyle w:val="ListNumber"/>
      </w:pPr>
      <w:r>
        <w:t>Run the company-metadata script once to seed the metadata cache (expect this to take a while for a few hundred tickers, given the polite per-request delay).</w:t>
      </w:r>
    </w:p>
    <w:p>
      <w:pPr>
        <w:pStyle w:val="ListNumber"/>
      </w:pPr>
      <w:r>
        <w:t>Consider a periodic (monthly) cron entry for the index-constituent script to track rebalances.</w:t>
      </w:r>
    </w:p>
    <w:p>
      <w:pPr>
        <w:pStyle w:val="Heading1"/>
      </w:pPr>
      <w:r>
        <w:t>Step 7 — Portfolio Manager: explicit multi-dimension scoring rubric</w:t>
      </w:r>
    </w:p>
    <w:p>
      <w:r>
        <w:rPr>
          <w:b/>
        </w:rPr>
        <w:t>What it is:</w:t>
      </w:r>
      <w:r>
        <w:t xml:space="preserve"> Rather than asking the LLM to output a single free-text rating directly, have it score several explicit, weighted dimensions (each with defined point bands describing what qualifies for each score range), sum them into a total, and </w:t>
      </w:r>
      <w:r>
        <w:rPr>
          <w:b/>
        </w:rPr>
        <w:t>derive</w:t>
      </w:r>
      <w:r>
        <w:t xml:space="preserve"> the final rating label mechanically from the total via fixed thresholds — the model never picks the rating label itself.</w:t>
      </w:r>
    </w:p>
    <w:p>
      <w:r>
        <w:rPr>
          <w:b/>
        </w:rPr>
        <w:t>Example rubric (5 dimensions, 100 points total):</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1A3C5E"/>
          </w:tcPr>
          <w:p>
            <w:r>
              <w:rPr>
                <w:b/>
                <w:color w:val="FFFFFF"/>
              </w:rPr>
              <w:t>Dimension</w:t>
            </w:r>
          </w:p>
        </w:tc>
        <w:tc>
          <w:tcPr>
            <w:tcW w:type="dxa" w:w="2880"/>
            <w:shd w:val="clear" w:color="auto" w:fill="1A3C5E"/>
          </w:tcPr>
          <w:p>
            <w:r>
              <w:rPr>
                <w:b/>
                <w:color w:val="FFFFFF"/>
              </w:rPr>
              <w:t>Max points</w:t>
            </w:r>
          </w:p>
        </w:tc>
        <w:tc>
          <w:tcPr>
            <w:tcW w:type="dxa" w:w="2880"/>
            <w:shd w:val="clear" w:color="auto" w:fill="1A3C5E"/>
          </w:tcPr>
          <w:p>
            <w:r>
              <w:rPr>
                <w:b/>
                <w:color w:val="FFFFFF"/>
              </w:rPr>
              <w:t>What it should score</w:t>
            </w:r>
          </w:p>
        </w:tc>
      </w:tr>
      <w:tr>
        <w:tc>
          <w:tcPr>
            <w:tcW w:type="dxa" w:w="2880"/>
          </w:tcPr>
          <w:p>
            <w:r>
              <w:t>Technical trend</w:t>
            </w:r>
          </w:p>
        </w:tc>
        <w:tc>
          <w:tcPr>
            <w:tcW w:type="dxa" w:w="2880"/>
          </w:tcPr>
          <w:p>
            <w:r>
              <w:t>25</w:t>
            </w:r>
          </w:p>
        </w:tc>
        <w:tc>
          <w:tcPr>
            <w:tcW w:type="dxa" w:w="2880"/>
          </w:tcPr>
          <w:p>
            <w:r>
              <w:t>Trend strength/confirmation, from downtrend through confirmed uptrend</w:t>
            </w:r>
          </w:p>
        </w:tc>
      </w:tr>
      <w:tr>
        <w:tc>
          <w:tcPr>
            <w:tcW w:type="dxa" w:w="2880"/>
          </w:tcPr>
          <w:p>
            <w:r>
              <w:t>Fundamentals quality</w:t>
            </w:r>
          </w:p>
        </w:tc>
        <w:tc>
          <w:tcPr>
            <w:tcW w:type="dxa" w:w="2880"/>
          </w:tcPr>
          <w:p>
            <w:r>
              <w:t>25</w:t>
            </w:r>
          </w:p>
        </w:tc>
        <w:tc>
          <w:tcPr>
            <w:tcW w:type="dxa" w:w="2880"/>
          </w:tcPr>
          <w:p>
            <w:r>
              <w:t>Margin, ROE, and other quality metrics, from poor through excellent</w:t>
            </w:r>
          </w:p>
        </w:tc>
      </w:tr>
      <w:tr>
        <w:tc>
          <w:tcPr>
            <w:tcW w:type="dxa" w:w="2880"/>
          </w:tcPr>
          <w:p>
            <w:r>
              <w:t>Valuation attractiveness</w:t>
            </w:r>
          </w:p>
        </w:tc>
        <w:tc>
          <w:tcPr>
            <w:tcW w:type="dxa" w:w="2880"/>
          </w:tcPr>
          <w:p>
            <w:r>
              <w:t>20</w:t>
            </w:r>
          </w:p>
        </w:tc>
        <w:tc>
          <w:tcPr>
            <w:tcW w:type="dxa" w:w="2880"/>
          </w:tcPr>
          <w:p>
            <w:r>
              <w:t>From bubble-priced through attractively cheap (e.g. PEG-based bands)</w:t>
            </w:r>
          </w:p>
        </w:tc>
      </w:tr>
      <w:tr>
        <w:tc>
          <w:tcPr>
            <w:tcW w:type="dxa" w:w="2880"/>
          </w:tcPr>
          <w:p>
            <w:r>
              <w:t>Sentiment &amp; news</w:t>
            </w:r>
          </w:p>
        </w:tc>
        <w:tc>
          <w:tcPr>
            <w:tcW w:type="dxa" w:w="2880"/>
          </w:tcPr>
          <w:p>
            <w:r>
              <w:t>15</w:t>
            </w:r>
          </w:p>
        </w:tc>
        <w:tc>
          <w:tcPr>
            <w:tcW w:type="dxa" w:w="2880"/>
          </w:tcPr>
          <w:p>
            <w:r>
              <w:t>From severely negative through strong positive company-specific catalysts — a positive macro/sector tailwind *alone*, with no company-specific catalyst, should cap in the neutral band, not score as positive</w:t>
            </w:r>
          </w:p>
        </w:tc>
      </w:tr>
      <w:tr>
        <w:tc>
          <w:tcPr>
            <w:tcW w:type="dxa" w:w="2880"/>
          </w:tcPr>
          <w:p>
            <w:r>
              <w:t>Risk profile (higher = lower risk)</w:t>
            </w:r>
          </w:p>
        </w:tc>
        <w:tc>
          <w:tcPr>
            <w:tcW w:type="dxa" w:w="2880"/>
          </w:tcPr>
          <w:p>
            <w:r>
              <w:t>15</w:t>
            </w:r>
          </w:p>
        </w:tc>
        <w:tc>
          <w:tcPr>
            <w:tcW w:type="dxa" w:w="2880"/>
          </w:tcPr>
          <w:p>
            <w:r>
              <w:t xml:space="preserve">Volatility (e.g. ATR-based bands), concentration risk, and event/regulatory risk </w:t>
            </w:r>
            <w:r>
              <w:rPr>
                <w:b/>
              </w:rPr>
              <w:t>only</w:t>
            </w:r>
            <w:r>
              <w:t xml:space="preserve"> — explicitly exclude leverage/solvency/cash-generation from this dimension since those are already captured under Fundamentals; conflating the two produces a spuriously "safer" score for weak-balance-sheet companies that merely have low price volatility</w:t>
            </w:r>
          </w:p>
        </w:tc>
      </w:tr>
    </w:tbl>
    <w:p/>
    <w:p>
      <w:r>
        <w:t>Total → rating thresholds, e.g.: Buy ≥70, Overweight ≥55, Hold ≥38, Underweight ≥22, Sell below 22 (tune the exact cutoffs to your own back-tested distribution — the point is that they're fixed thresholds applied mechanically, not that these specific numbers are universal).</w:t>
      </w:r>
    </w:p>
    <w:p>
      <w:r>
        <w:rPr>
          <w:b/>
        </w:rPr>
        <w:t>Steps:</w:t>
      </w:r>
    </w:p>
    <w:p>
      <w:pPr>
        <w:pStyle w:val="ListNumber"/>
      </w:pPr>
      <w:r>
        <w:t xml:space="preserve">Define a structured-output schema with a </w:t>
      </w:r>
      <w:r>
        <w:rPr>
          <w:rFonts w:ascii="Consolas" w:hAnsi="Consolas"/>
          <w:sz w:val="19"/>
        </w:rPr>
        <w:t>*_score</w:t>
      </w:r>
      <w:r>
        <w:t>/</w:t>
      </w:r>
      <w:r>
        <w:rPr>
          <w:rFonts w:ascii="Consolas" w:hAnsi="Consolas"/>
          <w:sz w:val="19"/>
        </w:rPr>
        <w:t>*_reasoning</w:t>
      </w:r>
      <w:r>
        <w:t xml:space="preserve"> field pair per dimension (bake the band descriptions directly into each field's description text — these descriptions double as the instructions the model reads), a total-to-rating threshold function, and a markdown-rendering function that emits a consistent shape: a heading with the rating and score, a markdown scorecard table (dimension / score / max / reasoning, with a bolded total row), a thresholds line, and an investment-thesis section. Keep this exact shape consistent — anything downstream that parses saved reports (a web dashboard, a signal-scanning script) should be able to rely on one predictable format.</w:t>
      </w:r>
    </w:p>
    <w:p>
      <w:pPr>
        <w:pStyle w:val="ListNumber"/>
      </w:pPr>
      <w:r>
        <w:t>Rewrite the Portfolio Manager's prompt to present the same rubric to the model, and give it a "rating is derived automatically from your total score" instruction so it doesn't try to override the mechanical mapping.</w:t>
      </w:r>
    </w:p>
    <w:p>
      <w:pPr>
        <w:pStyle w:val="ListNumber"/>
      </w:pPr>
      <w:r>
        <w:t>Add a free-text-fallback safety net: if structured-output parsing fails and the code falls back to a plain-text LLM call, append the same target markdown shape as an explicit format instruction to that fallback prompt, so even a degraded call still produces parseable output. Log structured-output failures at a visible level (not debug-only) so failures don't go unnoticed.</w:t>
      </w:r>
    </w:p>
    <w:p>
      <w:pPr>
        <w:pStyle w:val="ListNumber"/>
      </w:pPr>
      <w:r>
        <w:t>If your OAuth-based LLM clients (Step 1) implement structured output via a JSON-instruction + parse approach rather than native schema mode, make sure that parser includes field *descriptions* (not just names) in the instruction text sent to the model, uses brace-matching rather than naive substring extraction to find the JSON object in the response, and validates with a permissive method that tolerates unexpected extra keys.</w:t>
      </w:r>
    </w:p>
    <w:p>
      <w:pPr>
        <w:pStyle w:val="Heading1"/>
      </w:pPr>
      <w:r>
        <w:t>Step 8 — Standardize a machine-parseable "signal" footer across every analyst</w:t>
      </w:r>
    </w:p>
    <w:p>
      <w:r>
        <w:rPr>
          <w:b/>
        </w:rPr>
        <w:t>What it is:</w:t>
      </w:r>
      <w:r>
        <w:t xml:space="preserve"> Have every analyst prompt (market, fundamentals, news, sentiment, short interest, or whichever set you build) end its report with an identical, structured block:</w:t>
      </w:r>
    </w:p>
    <w:p>
      <w:pPr>
        <w:spacing w:after="120"/>
        <w:ind w:left="432"/>
        <w:shd w:fill="F2F2F2"/>
      </w:pPr>
      <w:r>
        <w:rPr>
          <w:rFonts w:ascii="Consolas" w:hAnsi="Consolas"/>
          <w:sz w:val="17"/>
        </w:rPr>
        <w:t>## Analyst Signal</w:t>
        <w:br/>
        <w:t>**Signal:** [one of: Buy | Overweight | Hold | Underweight | Sell]</w:t>
        <w:br/>
        <w:t>**Confidence:** [0-100]/100</w:t>
        <w:br/>
        <w:t>**Outlook:** [0-100]/100</w:t>
        <w:br/>
        <w:t>**Rationale:** [One sentence summarising your key reasoning]</w:t>
      </w:r>
    </w:p>
    <w:p>
      <w:r>
        <w:t>with a shared explanation that Outlook is a directional score (100 = most bullish data quality, 0 = most bearish, 50 = neutral) independent of Confidence (how sure the analyst is, regardless of direction).</w:t>
      </w:r>
    </w:p>
    <w:p>
      <w:r>
        <w:rPr>
          <w:b/>
        </w:rPr>
        <w:t>Why it's worth doing:</w:t>
      </w:r>
      <w:r>
        <w:t xml:space="preserve"> Gives every analyst report a consistently-shaped, machine-parseable opinion block — useful for a web dashboard, for downstream researcher/manager nodes that read all the analyst reports, and for any future automated calibration or aggregation work, without needing a different free-form-prose parser per analyst.</w:t>
      </w:r>
    </w:p>
    <w:p>
      <w:r>
        <w:rPr>
          <w:b/>
        </w:rPr>
        <w:t>Steps:</w:t>
      </w:r>
      <w:r>
        <w:t xml:space="preserve"> Append this block (or your own equivalent) to the end of every analyst's system prompt, tailoring only the last sentence of the Rationale line to that analyst's domain.</w:t>
      </w:r>
    </w:p>
    <w:p>
      <w:pPr>
        <w:pStyle w:val="Heading1"/>
      </w:pPr>
      <w:r>
        <w:t>Step 9 — Calibrate rating-scale guidance to avoid clustering around "Hold"</w:t>
      </w:r>
    </w:p>
    <w:p>
      <w:r>
        <w:rPr>
          <w:b/>
        </w:rPr>
        <w:t>What it is:</w:t>
      </w:r>
      <w:r>
        <w:t xml:space="preserve"> If you notice that a large batch of historical recommendations clusters heavily around the middle ratings (Hold/Overweight/Underweight) with the extremes (Buy/Sell) almost never used, the likely cause is prompt guidance that implicitly frames extremes as reserved for rare, uncontested cases. Rewrite the rating-scale guidance given to whichever node makes the final call (e.g. a bull/bear-debate synthesizer) to reframe the common positive/negative rating as the *normal* outcome of a clear-but-not-unanimous case — e.g. "every stock debated will have some bear arguments; a positive rating means the bulls won the debate, not that there were no counterarguments" — and give explicit calibration targets for the expected distribution across a broad universe (e.g. roughly a third positive, ~40% neutral, the rest negative — tune to what makes sense for your universe). Explicitly warn against the specific rationalization pattern that produces clustering: a line like "the bull case was credible but there are risks" describes nearly every stock and isn't, by itself, a reason to downgrade from a clear rating to a hedged one.</w:t>
      </w:r>
    </w:p>
    <w:p>
      <w:r>
        <w:rPr>
          <w:b/>
        </w:rPr>
        <w:t>Steps:</w:t>
      </w:r>
      <w:r>
        <w:t xml:space="preserve"> Rewrite the relevant "rating scale" section of the decision-synthesis prompt with the reframing above, plus explicit target-distribution guidance, plus the anti-hedging warning. Re-measure the output distribution against a batch of fresh runs afterward to confirm it actually shifted — this kind of prompt change is easy to get subtly wrong, so treat it as a hypothesis to validate, not a one-shot fix.</w:t>
      </w:r>
    </w:p>
    <w:p>
      <w:pPr>
        <w:pStyle w:val="Heading1"/>
      </w:pPr>
      <w:r>
        <w:t>Step 10 — Web dashboard</w:t>
      </w:r>
    </w:p>
    <w:p>
      <w:r>
        <w:rPr>
          <w:b/>
        </w:rPr>
        <w:t>What it is:</w:t>
      </w:r>
      <w:r>
        <w:t xml:space="preserve"> A password-gated web app serving a small set of pages, all running on the same server as the batch pipeline (no separate frontend host, no cross-server sync — the web app reads directly from the same local report/database files the batch pipeline writes).</w:t>
      </w:r>
    </w:p>
    <w:p>
      <w:r>
        <w:rPr>
          <w:b/>
        </w:rPr>
        <w:t>Suggested routes: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1A3C5E"/>
          </w:tcPr>
          <w:p>
            <w:r>
              <w:rPr>
                <w:b/>
                <w:color w:val="FFFFFF"/>
              </w:rPr>
              <w:t>Route</w:t>
            </w:r>
          </w:p>
        </w:tc>
        <w:tc>
          <w:tcPr>
            <w:tcW w:type="dxa" w:w="2880"/>
            <w:shd w:val="clear" w:color="auto" w:fill="1A3C5E"/>
          </w:tcPr>
          <w:p>
            <w:r>
              <w:rPr>
                <w:b/>
                <w:color w:val="FFFFFF"/>
              </w:rPr>
              <w:t>Purpose</w:t>
            </w:r>
          </w:p>
        </w:tc>
        <w:tc>
          <w:tcPr>
            <w:tcW w:type="dxa" w:w="2880"/>
            <w:shd w:val="clear" w:color="auto" w:fill="1A3C5E"/>
          </w:tcPr>
          <w:p>
            <w:r>
              <w:rPr>
                <w:b/>
                <w:color w:val="FFFFFF"/>
              </w:rPr>
              <w:t>Auth?</w:t>
            </w:r>
          </w:p>
        </w:tc>
      </w:tr>
      <w:tr>
        <w:tc>
          <w:tcPr>
            <w:tcW w:type="dxa" w:w="2880"/>
          </w:tcPr>
          <w:p>
            <w:r>
              <w:rPr>
                <w:rFonts w:ascii="Consolas" w:hAnsi="Consolas"/>
                <w:sz w:val="19"/>
              </w:rPr>
              <w:t>GET /</w:t>
            </w:r>
          </w:p>
        </w:tc>
        <w:tc>
          <w:tcPr>
            <w:tcW w:type="dxa" w:w="2880"/>
          </w:tcPr>
          <w:p>
            <w:r>
              <w:t>Public landing page — recent reports, ticker search</w:t>
            </w:r>
          </w:p>
        </w:tc>
        <w:tc>
          <w:tcPr>
            <w:tcW w:type="dxa" w:w="2880"/>
          </w:tcPr>
          <w:p>
            <w:r>
              <w:t>public</w:t>
            </w:r>
          </w:p>
        </w:tc>
      </w:tr>
      <w:tr>
        <w:tc>
          <w:tcPr>
            <w:tcW w:type="dxa" w:w="2880"/>
          </w:tcPr>
          <w:p>
            <w:r>
              <w:rPr>
                <w:rFonts w:ascii="Consolas" w:hAnsi="Consolas"/>
                <w:sz w:val="19"/>
              </w:rPr>
              <w:t>GET /login</w:t>
            </w:r>
            <w:r>
              <w:t xml:space="preserve">, </w:t>
            </w:r>
            <w:r>
              <w:rPr>
                <w:rFonts w:ascii="Consolas" w:hAnsi="Consolas"/>
                <w:sz w:val="19"/>
              </w:rPr>
              <w:t>POST /api/login</w:t>
            </w:r>
          </w:p>
        </w:tc>
        <w:tc>
          <w:tcPr>
            <w:tcW w:type="dxa" w:w="2880"/>
          </w:tcPr>
          <w:p>
            <w:r>
              <w:t>Password-gated login (session cookie)</w:t>
            </w:r>
          </w:p>
        </w:tc>
        <w:tc>
          <w:tcPr>
            <w:tcW w:type="dxa" w:w="2880"/>
          </w:tcPr>
          <w:p>
            <w:r>
              <w:t>public</w:t>
            </w:r>
          </w:p>
        </w:tc>
      </w:tr>
      <w:tr>
        <w:tc>
          <w:tcPr>
            <w:tcW w:type="dxa" w:w="2880"/>
          </w:tcPr>
          <w:p>
            <w:r>
              <w:rPr>
                <w:rFonts w:ascii="Consolas" w:hAnsi="Consolas"/>
                <w:sz w:val="19"/>
              </w:rPr>
              <w:t>GET /api/auth/status</w:t>
            </w:r>
            <w:r>
              <w:t xml:space="preserve">, </w:t>
            </w:r>
            <w:r>
              <w:rPr>
                <w:rFonts w:ascii="Consolas" w:hAnsi="Consolas"/>
                <w:sz w:val="19"/>
              </w:rPr>
              <w:t>GET /api/logout</w:t>
            </w:r>
          </w:p>
        </w:tc>
        <w:tc>
          <w:tcPr>
            <w:tcW w:type="dxa" w:w="2880"/>
          </w:tcPr>
          <w:p>
            <w:r>
              <w:t>Session status / logout</w:t>
            </w:r>
          </w:p>
        </w:tc>
        <w:tc>
          <w:tcPr>
            <w:tcW w:type="dxa" w:w="2880"/>
          </w:tcPr>
          <w:p>
            <w:r>
              <w:t>public</w:t>
            </w:r>
          </w:p>
        </w:tc>
      </w:tr>
      <w:tr>
        <w:tc>
          <w:tcPr>
            <w:tcW w:type="dxa" w:w="2880"/>
          </w:tcPr>
          <w:p>
            <w:r>
              <w:rPr>
                <w:rFonts w:ascii="Consolas" w:hAnsi="Consolas"/>
                <w:sz w:val="19"/>
              </w:rPr>
              <w:t>GET /analysis</w:t>
            </w:r>
          </w:p>
        </w:tc>
        <w:tc>
          <w:tcPr>
            <w:tcW w:type="dxa" w:w="2880"/>
          </w:tcPr>
          <w:p>
            <w:r>
              <w:t>Run a new analysis interactively, live progress stream</w:t>
            </w:r>
          </w:p>
        </w:tc>
        <w:tc>
          <w:tcPr>
            <w:tcW w:type="dxa" w:w="2880"/>
          </w:tcPr>
          <w:p>
            <w:r>
              <w:t>required</w:t>
            </w:r>
          </w:p>
        </w:tc>
      </w:tr>
      <w:tr>
        <w:tc>
          <w:tcPr>
            <w:tcW w:type="dxa" w:w="2880"/>
          </w:tcPr>
          <w:p>
            <w:r>
              <w:rPr>
                <w:rFonts w:ascii="Consolas" w:hAnsi="Consolas"/>
                <w:sz w:val="19"/>
              </w:rPr>
              <w:t>GET /reports</w:t>
            </w:r>
            <w:r>
              <w:t xml:space="preserve">, </w:t>
            </w:r>
            <w:r>
              <w:rPr>
                <w:rFonts w:ascii="Consolas" w:hAnsi="Consolas"/>
                <w:sz w:val="19"/>
              </w:rPr>
              <w:t>GET /api/reports</w:t>
            </w:r>
            <w:r>
              <w:t xml:space="preserve">, </w:t>
            </w:r>
            <w:r>
              <w:rPr>
                <w:rFonts w:ascii="Consolas" w:hAnsi="Consolas"/>
                <w:sz w:val="19"/>
              </w:rPr>
              <w:t>GET /api/reports/{ticker}/{date}</w:t>
            </w:r>
          </w:p>
        </w:tc>
        <w:tc>
          <w:tcPr>
            <w:tcW w:type="dxa" w:w="2880"/>
          </w:tcPr>
          <w:p>
            <w:r>
              <w:t>Browse saved reports</w:t>
            </w:r>
          </w:p>
        </w:tc>
        <w:tc>
          <w:tcPr>
            <w:tcW w:type="dxa" w:w="2880"/>
          </w:tcPr>
          <w:p>
            <w:r>
              <w:t>public</w:t>
            </w:r>
          </w:p>
        </w:tc>
      </w:tr>
      <w:tr>
        <w:tc>
          <w:tcPr>
            <w:tcW w:type="dxa" w:w="2880"/>
          </w:tcPr>
          <w:p>
            <w:r>
              <w:rPr>
                <w:rFonts w:ascii="Consolas" w:hAnsi="Consolas"/>
                <w:sz w:val="19"/>
              </w:rPr>
              <w:t>GET /api/company/{code}</w:t>
            </w:r>
          </w:p>
        </w:tc>
        <w:tc>
          <w:tcPr>
            <w:tcW w:type="dxa" w:w="2880"/>
          </w:tcPr>
          <w:p>
            <w:r>
              <w:t>Cached company metadata (Step 6)</w:t>
            </w:r>
          </w:p>
        </w:tc>
        <w:tc>
          <w:tcPr>
            <w:tcW w:type="dxa" w:w="2880"/>
          </w:tcPr>
          <w:p>
            <w:r>
              <w:t>public</w:t>
            </w:r>
          </w:p>
        </w:tc>
      </w:tr>
      <w:tr>
        <w:tc>
          <w:tcPr>
            <w:tcW w:type="dxa" w:w="2880"/>
          </w:tcPr>
          <w:p>
            <w:r>
              <w:rPr>
                <w:rFonts w:ascii="Consolas" w:hAnsi="Consolas"/>
                <w:sz w:val="19"/>
              </w:rPr>
              <w:t>GET /performance</w:t>
            </w:r>
            <w:r>
              <w:t xml:space="preserve">, </w:t>
            </w:r>
            <w:r>
              <w:rPr>
                <w:rFonts w:ascii="Consolas" w:hAnsi="Consolas"/>
                <w:sz w:val="19"/>
              </w:rPr>
              <w:t>GET /api/performance</w:t>
            </w:r>
            <w:r>
              <w:t xml:space="preserve">, </w:t>
            </w:r>
            <w:r>
              <w:rPr>
                <w:rFonts w:ascii="Consolas" w:hAnsi="Consolas"/>
                <w:sz w:val="19"/>
              </w:rPr>
              <w:t>POST /api/performance/refresh</w:t>
            </w:r>
            <w:r>
              <w:t xml:space="preserve">, </w:t>
            </w:r>
            <w:r>
              <w:rPr>
                <w:rFonts w:ascii="Consolas" w:hAnsi="Consolas"/>
                <w:sz w:val="19"/>
              </w:rPr>
              <w:t>POST /api/performance/ingest</w:t>
            </w:r>
          </w:p>
        </w:tc>
        <w:tc>
          <w:tcPr>
            <w:tcW w:type="dxa" w:w="2880"/>
          </w:tcPr>
          <w:p>
            <w:r>
              <w:t>Recommendation-performance dashboard</w:t>
            </w:r>
          </w:p>
        </w:tc>
        <w:tc>
          <w:tcPr>
            <w:tcW w:type="dxa" w:w="2880"/>
          </w:tcPr>
          <w:p>
            <w:r>
              <w:t>public</w:t>
            </w:r>
          </w:p>
        </w:tc>
      </w:tr>
      <w:tr>
        <w:tc>
          <w:tcPr>
            <w:tcW w:type="dxa" w:w="2880"/>
          </w:tcPr>
          <w:p>
            <w:r>
              <w:rPr>
                <w:rFonts w:ascii="Consolas" w:hAnsi="Consolas"/>
                <w:sz w:val="19"/>
              </w:rPr>
              <w:t>POST /api/analyze</w:t>
            </w:r>
            <w:r>
              <w:t xml:space="preserve">, </w:t>
            </w:r>
            <w:r>
              <w:rPr>
                <w:rFonts w:ascii="Consolas" w:hAnsi="Consolas"/>
                <w:sz w:val="19"/>
              </w:rPr>
              <w:t>GET /api/stream/{job_id}</w:t>
            </w:r>
          </w:p>
        </w:tc>
        <w:tc>
          <w:tcPr>
            <w:tcW w:type="dxa" w:w="2880"/>
          </w:tcPr>
          <w:p>
            <w:r>
              <w:t>Kick off / stream a live analysis run</w:t>
            </w:r>
          </w:p>
        </w:tc>
        <w:tc>
          <w:tcPr>
            <w:tcW w:type="dxa" w:w="2880"/>
          </w:tcPr>
          <w:p>
            <w:r>
              <w:t>—</w:t>
            </w:r>
          </w:p>
        </w:tc>
      </w:tr>
      <w:tr>
        <w:tc>
          <w:tcPr>
            <w:tcW w:type="dxa" w:w="2880"/>
          </w:tcPr>
          <w:p>
            <w:r>
              <w:rPr>
                <w:rFonts w:ascii="Consolas" w:hAnsi="Consolas"/>
                <w:sz w:val="19"/>
              </w:rPr>
              <w:t>GET /api/search?q=...</w:t>
            </w:r>
          </w:p>
        </w:tc>
        <w:tc>
          <w:tcPr>
            <w:tcW w:type="dxa" w:w="2880"/>
          </w:tcPr>
          <w:p>
            <w:r>
              <w:t>Ticker/company name search for the landing-page search box</w:t>
            </w:r>
          </w:p>
        </w:tc>
        <w:tc>
          <w:tcPr>
            <w:tcW w:type="dxa" w:w="2880"/>
          </w:tcPr>
          <w:p>
            <w:r>
              <w:t>public</w:t>
            </w:r>
          </w:p>
        </w:tc>
      </w:tr>
    </w:tbl>
    <w:p/>
    <w:p>
      <w:r>
        <w:rPr>
          <w:b/>
        </w:rPr>
        <w:t>Page notes:</w:t>
      </w:r>
    </w:p>
    <w:p>
      <w:pPr>
        <w:pStyle w:val="ListBullet"/>
      </w:pPr>
      <w:r>
        <w:rPr>
          <w:b/>
        </w:rPr>
        <w:t>Landing page</w:t>
      </w:r>
      <w:r>
        <w:t xml:space="preserve"> — recent-reports list, a search box (implement </w:t>
      </w:r>
      <w:r>
        <w:rPr>
          <w:rFonts w:ascii="Consolas" w:hAnsi="Consolas"/>
          <w:sz w:val="19"/>
        </w:rPr>
        <w:t>/api/search</w:t>
      </w:r>
      <w:r>
        <w:t xml:space="preserve"> as a fuzzy match against the cached company-metadata files plus recent report tickers, returning </w:t>
      </w:r>
      <w:r>
        <w:rPr>
          <w:rFonts w:ascii="Consolas" w:hAnsi="Consolas"/>
          <w:sz w:val="19"/>
        </w:rPr>
        <w:t>[{ticker, name, signal}]</w:t>
      </w:r>
      <w:r>
        <w:t>; pull each match's most recent signal from its latest saved report), and nav links that only appear once the session-status check confirms the user is logged in.</w:t>
      </w:r>
    </w:p>
    <w:p>
      <w:pPr>
        <w:pStyle w:val="ListBullet"/>
      </w:pPr>
      <w:r>
        <w:rPr>
          <w:b/>
        </w:rPr>
        <w:t>Login</w:t>
      </w:r>
      <w:r>
        <w:t xml:space="preserve"> — simple password form. Use a signed, httponly, samesite session cookie (e.g. via a signed-timed-serializer library) with a reasonable expiry (e.g. 7 days). </w:t>
      </w:r>
      <w:r>
        <w:rPr>
          <w:b/>
        </w:rPr>
        <w:t>Read the session-signing secret and the gate password from environment variables, not hardcoded source-file literals</w:t>
      </w:r>
      <w:r>
        <w:t xml:space="preserve"> — this is a real security practice, not just a style preference: a hardcoded secret in source means anyone with read access to the repo (or its history) has the secret, forever, even after "changing" it.</w:t>
      </w:r>
    </w:p>
    <w:p>
      <w:pPr>
        <w:pStyle w:val="ListBullet"/>
      </w:pPr>
      <w:r>
        <w:rPr>
          <w:b/>
        </w:rPr>
        <w:t>Analysis runner</w:t>
      </w:r>
      <w:r>
        <w:t xml:space="preserve"> — pick ticker/date/provider/model/depth, stream live per-node progress grouped into logical stages (analyst team, research team, trading team, risk management), then show the resulting rating badge, driven off the standardized signal block from Step 8 so the badge always shows the model's actual rating label rather than a coarse buy/sell/hold bucket. Render the decision body as parsed markdown, not raw text, so the scorecard table (Step 7) displays correctly. On completion, either show the report inline or navigate to the reports page for that ticker/date.</w:t>
      </w:r>
    </w:p>
    <w:p>
      <w:pPr>
        <w:pStyle w:val="ListBullet"/>
      </w:pPr>
      <w:r>
        <w:rPr>
          <w:b/>
        </w:rPr>
        <w:t>Reports browser</w:t>
      </w:r>
      <w:r>
        <w:t xml:space="preserve"> — tabbed markdown viewer grouped by ticker with a date sidebar, supporting a </w:t>
      </w:r>
      <w:r>
        <w:rPr>
          <w:rFonts w:ascii="Consolas" w:hAnsi="Consolas"/>
          <w:sz w:val="19"/>
        </w:rPr>
        <w:t>?ticker=&amp;date=</w:t>
      </w:r>
      <w:r>
        <w:t xml:space="preserve"> URL param to deep-link and auto-select a specific report. Any signal-detection logic that scans report text for rating keywords should scan only a bounded prefix of the document (e.g. the first ~1000 characters) and only match inside </w:t>
      </w:r>
      <w:r>
        <w:rPr>
          <w:rFonts w:ascii="Consolas" w:hAnsi="Consolas"/>
          <w:sz w:val="19"/>
        </w:rPr>
        <w:t>**bold**</w:t>
      </w:r>
      <w:r>
        <w:t xml:space="preserve"> spans — a naive full-document keyword search will false-positive on body prose like "conditions to upgrade to Overweight" or "not a strong buy setup."</w:t>
      </w:r>
    </w:p>
    <w:p>
      <w:pPr>
        <w:pStyle w:val="ListBullet"/>
      </w:pPr>
      <w:r>
        <w:rPr>
          <w:b/>
        </w:rPr>
        <w:t>Performance dashboard</w:t>
      </w:r>
      <w:r>
        <w:t xml:space="preserve"> — reads the performance database (Step 11), with cohort/date filtering so the same ticker being re-scored on different days doesn't autocorrelate the displayed win-rate; manual buttons to trigger a report-ingest or a snapshot-refresh for ad-hoc testing.</w:t>
      </w:r>
    </w:p>
    <w:p>
      <w:r>
        <w:rPr>
          <w:b/>
        </w:rPr>
        <w:t>Steps:</w:t>
      </w:r>
    </w:p>
    <w:p>
      <w:pPr>
        <w:pStyle w:val="ListNumber"/>
      </w:pPr>
      <w:r>
        <w:t>Build the routes and pages above.</w:t>
      </w:r>
    </w:p>
    <w:p>
      <w:pPr>
        <w:pStyle w:val="ListNumber"/>
      </w:pPr>
      <w:r>
        <w:t xml:space="preserve">Implement </w:t>
      </w:r>
      <w:r>
        <w:rPr>
          <w:rFonts w:ascii="Consolas" w:hAnsi="Consolas"/>
          <w:sz w:val="19"/>
        </w:rPr>
        <w:t>/api/search</w:t>
      </w:r>
      <w:r>
        <w:t xml:space="preserve"> for real — don't ship a search box that calls a nonexistent endpoint; either build it or don't add the box.</w:t>
      </w:r>
    </w:p>
    <w:p>
      <w:pPr>
        <w:pStyle w:val="ListNumber"/>
      </w:pPr>
      <w:r>
        <w:t>Use environment variables for the session secret and gate password; generate your own values, don't reuse an example/default in production.</w:t>
      </w:r>
    </w:p>
    <w:p>
      <w:pPr>
        <w:pStyle w:val="ListNumber"/>
      </w:pPr>
      <w:r>
        <w:t>Since everything runs on one server, the analysis-run and report-browsing routes can read straight off the local filesystem/database with no sync step involved.</w:t>
      </w:r>
    </w:p>
    <w:p>
      <w:pPr>
        <w:pStyle w:val="Heading1"/>
      </w:pPr>
      <w:r>
        <w:t>Step 11 — Batch automation, performance tracking, and scheduling</w:t>
      </w:r>
    </w:p>
    <w:p>
      <w:r>
        <w:rPr>
          <w:b/>
        </w:rPr>
        <w:t>What it is:</w:t>
      </w:r>
      <w:r>
        <w:t xml:space="preserve"> A pipeline for running your ticker universe on a schedule and tracking recommendation outcomes over time, entirely on the single server.</w:t>
      </w:r>
    </w:p>
    <w:p>
      <w:r>
        <w:rPr>
          <w:b/>
        </w:rPr>
        <w:t>Batch runner:</w:t>
      </w:r>
    </w:p>
    <w:p>
      <w:pPr>
        <w:pStyle w:val="ListBullet"/>
      </w:pPr>
      <w:r>
        <w:t>Load tickers from the maintained index-constituent list (Step 6), falling back to scraping a public index-membership page if the list doesn't exist yet.</w:t>
      </w:r>
    </w:p>
    <w:p>
      <w:pPr>
        <w:pStyle w:val="ListBullet"/>
      </w:pPr>
      <w:r>
        <w:t xml:space="preserve">Skip any ticker with a sufficiently recent existing report (e.g. under 7 days old) unless a </w:t>
      </w:r>
      <w:r>
        <w:rPr>
          <w:rFonts w:ascii="Consolas" w:hAnsi="Consolas"/>
          <w:sz w:val="19"/>
        </w:rPr>
        <w:t>--force</w:t>
      </w:r>
      <w:r>
        <w:t xml:space="preserve"> flag is passed, so a retry run doesn't redo already-fresh work.</w:t>
      </w:r>
    </w:p>
    <w:p>
      <w:pPr>
        <w:pStyle w:val="ListBullet"/>
      </w:pPr>
      <w:r>
        <w:t>Run tickers concurrently with a small thread pool (2–3 workers is plenty for most OAuth rate limits; tune to your provider's actual limits).</w:t>
      </w:r>
    </w:p>
    <w:p>
      <w:pPr>
        <w:pStyle w:val="ListBullet"/>
      </w:pPr>
      <w:r>
        <w:t xml:space="preserve">Implement </w:t>
      </w:r>
      <w:r>
        <w:rPr>
          <w:b/>
        </w:rPr>
        <w:t>automatic provider fallback</w:t>
      </w:r>
      <w:r>
        <w:t xml:space="preserve">: detect quota-exhaustion errors from the primary provider (e.g. </w:t>
      </w:r>
      <w:r>
        <w:rPr>
          <w:rFonts w:ascii="Consolas" w:hAnsi="Consolas"/>
          <w:sz w:val="19"/>
        </w:rPr>
        <w:t>usage_limit_reached</w:t>
      </w:r>
      <w:r>
        <w:t>/</w:t>
      </w:r>
      <w:r>
        <w:rPr>
          <w:rFonts w:ascii="Consolas" w:hAnsi="Consolas"/>
          <w:sz w:val="19"/>
        </w:rPr>
        <w:t>insufficient_quota</w:t>
      </w:r>
      <w:r>
        <w:t>-style errors) and switch all in-flight/remaining tickers over to a fallback provider, thread-safely. Separately detect soft rate-limit errors (429s, provider-specific burst-limit messages) and retry the *same* provider with exponential backoff before giving up on that ticker.</w:t>
      </w:r>
    </w:p>
    <w:p>
      <w:pPr>
        <w:pStyle w:val="ListBullet"/>
      </w:pPr>
      <w:r>
        <w:t>Print a running status line (done/failed/skipped/ETA) and a summary at the end.</w:t>
      </w:r>
    </w:p>
    <w:p>
      <w:r>
        <w:rPr>
          <w:b/>
        </w:rPr>
        <w:t>Performance tracking database:</w:t>
      </w:r>
    </w:p>
    <w:p>
      <w:pPr>
        <w:pStyle w:val="ListBullet"/>
      </w:pPr>
      <w:r>
        <w:t>A small SQLite database (WAL mode) with two tables: one row per recommendation (ticker, date, signal, score, entry price, benchmark price at time of recommendation) and one row per price snapshot at each tracked time horizon (e.g. 1/3/6/12 months) per recommendation. Auto-resolve an appropriate market benchmark index by ticker suffix/exchange.</w:t>
      </w:r>
    </w:p>
    <w:p>
      <w:pPr>
        <w:pStyle w:val="ListBullet"/>
      </w:pPr>
      <w:r>
        <w:t>Record a new recommendation automatically at the end of every analysis run, wrapped in a try/except so a performance-database failure never breaks the underlying analysis.</w:t>
      </w:r>
    </w:p>
    <w:p>
      <w:pPr>
        <w:pStyle w:val="ListBullet"/>
      </w:pPr>
      <w:r>
        <w:t>A refresh function that fills in any due-but-missing snapshots (short-circuiting on pure date arithmetic before touching any market-data API, so a run where nothing has actually matured yet is fast, not a multi-minute no-op).</w:t>
      </w:r>
    </w:p>
    <w:p>
      <w:pPr>
        <w:pStyle w:val="ListBullet"/>
      </w:pPr>
      <w:r>
        <w:rPr>
          <w:b/>
        </w:rPr>
        <w:t>Run the snapshot refresh on a schedule via a direct function call, not an HTTP round-trip to the web dashboard.</w:t>
      </w:r>
      <w:r>
        <w:t xml:space="preserve"> It's tempting to have a scheduled job simply </w:t>
      </w:r>
      <w:r>
        <w:rPr>
          <w:rFonts w:ascii="Consolas" w:hAnsi="Consolas"/>
          <w:sz w:val="19"/>
        </w:rPr>
        <w:t>curl</w:t>
      </w:r>
      <w:r>
        <w:t xml:space="preserve"> the dashboard's refresh endpoint, but that creates an unnecessary dependency on the web server being up — call the refresh function directly from a small script instead, and only expose the HTTP endpoint as a convenience for manually triggering the same function from the dashboard UI.</w:t>
      </w:r>
    </w:p>
    <w:p>
      <w:pPr>
        <w:pStyle w:val="ListBullet"/>
      </w:pPr>
      <w:r>
        <w:t>A backfill function that scans existing saved report logs and populates the database for anything not yet recorded — useful once, when adding performance tracking to an already-running pipeline; a no-op on a fresh install with no existing reports.</w:t>
      </w:r>
    </w:p>
    <w:p>
      <w:r>
        <w:rPr>
          <w:b/>
        </w:rPr>
        <w:t>Suggested scheduling (adjust cadence/timezone to your own setup):</w:t>
      </w:r>
    </w:p>
    <w:p>
      <w:pPr>
        <w:spacing w:after="120"/>
        <w:ind w:left="432"/>
        <w:shd w:fill="F2F2F2"/>
      </w:pPr>
      <w:r>
        <w:rPr>
          <w:rFonts w:ascii="Consolas" w:hAnsi="Consolas"/>
          <w:sz w:val="17"/>
        </w:rPr>
        <w:t># News scanner (Step 3) — a few times during local trading hours, weekdays</w:t>
        <w:br/>
        <w:t>0  8 * * 1-5 cd ~/TradingAgents &amp;&amp; uv run python scripts/scan_news.py &gt;&gt; ~/.tradingagents/logs/news_scan.log 2&gt;&amp;1</w:t>
        <w:br/>
        <w:t>0 12 * * 1-5 cd ~/TradingAgents &amp;&amp; uv run python scripts/scan_news.py &gt;&gt; ~/.tradingagents/logs/news_scan.log 2&gt;&amp;1</w:t>
        <w:br/>
        <w:t>0 17 * * 1-5 cd ~/TradingAgents &amp;&amp; uv run python scripts/scan_news.py &gt;&gt; ~/.tradingagents/logs/news_scan.log 2&gt;&amp;1</w:t>
        <w:br/>
        <w:br/>
        <w:t># Weekly batch run against the full ticker universe</w:t>
        <w:br/>
        <w:t>0 21 * * 5  ~/TradingAgents/scripts/weekly_batch.sh &gt;&gt; ~/.tradingagents/logs/weekly_batch.log 2&gt;&amp;1</w:t>
        <w:br/>
        <w:t># Optional retry a couple of days later, pinned to the original run's date so the</w:t>
        <w:br/>
        <w:t># recency-skip logic makes it a no-op re-attempt of only whatever failed</w:t>
        <w:br/>
        <w:t>0 21 * * 0  ~/TradingAgents/scripts/weekly_batch.sh "$(date -d 'last friday' +\%Y-\%m-\%d)" &gt;&gt; ~/.tradingagents/logs/weekly_batch.log 2&gt;&amp;1</w:t>
      </w:r>
    </w:p>
    <w:p>
      <w:r>
        <w:t>Wrap the weekly-batch entry point so it explicitly checks/refreshes OAuth token validity before starting (Step 1) and hard-fails with a clear remediation message (re-run the relevant CLI login command) if no valid token can be obtained, rather than letting the whole batch run fail confusingly partway through.</w:t>
      </w:r>
    </w:p>
    <w:p>
      <w:r>
        <w:rPr>
          <w:b/>
        </w:rPr>
        <w:t>Suggested systemd units</w:t>
      </w:r>
      <w:r>
        <w:t xml:space="preserve"> (per-user, under </w:t>
      </w:r>
      <w:r>
        <w:rPr>
          <w:rFonts w:ascii="Consolas" w:hAnsi="Consolas"/>
          <w:sz w:val="19"/>
        </w:rPr>
        <w:t>~/.config/systemd/user/</w:t>
      </w:r>
      <w:r>
        <w:t>):</w:t>
      </w:r>
    </w:p>
    <w:p>
      <w:pPr>
        <w:pStyle w:val="ListBullet"/>
      </w:pPr>
      <w:r>
        <w:t>A oneshot service + daily timer that calls the snapshot-refresh function directly (per the note above — not via HTTP), with a randomized delay so it doesn't hammer the market-data API at exactly the same second every day.</w:t>
      </w:r>
    </w:p>
    <w:p>
      <w:pPr>
        <w:pStyle w:val="ListBullet"/>
      </w:pPr>
      <w:r>
        <w:t>If you're also running the web dashboard as a long-lived process, a simple always-restart service running the ASGI app on your chosen port.</w:t>
      </w:r>
    </w:p>
    <w:p>
      <w:pPr>
        <w:pStyle w:val="ListBullet"/>
      </w:pPr>
      <w:r>
        <w:t>Enable lingering for the service account (</w:t>
      </w:r>
      <w:r>
        <w:rPr>
          <w:rFonts w:ascii="Consolas" w:hAnsi="Consolas"/>
          <w:sz w:val="19"/>
        </w:rPr>
        <w:t>loginctl enable-linger &lt;user&gt;</w:t>
      </w:r>
      <w:r>
        <w:t>) if you want these units to keep running without an active login session.</w:t>
      </w:r>
    </w:p>
    <w:p>
      <w:pPr>
        <w:pStyle w:val="Heading1"/>
      </w:pPr>
      <w:r>
        <w:t>Step 12 — New dependency</w:t>
      </w:r>
    </w:p>
    <w:p>
      <w:r>
        <w:t xml:space="preserve">If your index-constituent script (Step 6) parses Excel-format holdings files, add an Excel engine dependency (e.g. </w:t>
      </w:r>
      <w:r>
        <w:rPr>
          <w:rFonts w:ascii="Consolas" w:hAnsi="Consolas"/>
          <w:sz w:val="19"/>
        </w:rPr>
        <w:t>openpyxl</w:t>
      </w:r>
      <w:r>
        <w:t xml:space="preserve">) to your project dependencies — most data-processing libraries need one to read </w:t>
      </w:r>
      <w:r>
        <w:rPr>
          <w:rFonts w:ascii="Consolas" w:hAnsi="Consolas"/>
          <w:sz w:val="19"/>
        </w:rPr>
        <w:t>.xlsx</w:t>
      </w:r>
      <w:r>
        <w:t xml:space="preserve"> files, and it's rarely already pulled in transitively.</w:t>
      </w:r>
    </w:p>
    <w:p>
      <w:pPr>
        <w:pStyle w:val="Heading1"/>
      </w:pPr>
      <w:r>
        <w:t>Step 13 — Report-format parsing robustness</w:t>
      </w:r>
    </w:p>
    <w:p>
      <w:r>
        <w:rPr>
          <w:b/>
        </w:rPr>
        <w:t>What it is:</w:t>
      </w:r>
      <w:r>
        <w:t xml:space="preserve"> If your report format changes over time as you refine the scoring rubric (Step 7), anything that parses *historical* saved reports (a web dashboard's report viewer, a signal-scanning script) needs to handle multiple historical shapes gracefully, even once new reports are consistently in the current format:</w:t>
      </w:r>
    </w:p>
    <w:p>
      <w:pPr>
        <w:pStyle w:val="ListBullet"/>
      </w:pPr>
      <w:r>
        <w:t>Try the current expected format first (an explicit rating/score heading plus a markdown table).</w:t>
      </w:r>
    </w:p>
    <w:p>
      <w:pPr>
        <w:pStyle w:val="ListBullet"/>
      </w:pPr>
      <w:r>
        <w:t>Fall back through a couple of looser table-row regex patterns (e.g. bold vs. non-bold dimension-name cells).</w:t>
      </w:r>
    </w:p>
    <w:p>
      <w:pPr>
        <w:pStyle w:val="ListBullet"/>
      </w:pPr>
      <w:r>
        <w:t>Fall back further to a heading-per-dimension parsing pattern for older report shapes that didn't use a table at all.</w:t>
      </w:r>
    </w:p>
    <w:p>
      <w:pPr>
        <w:pStyle w:val="ListBullet"/>
      </w:pPr>
      <w:r>
        <w:t>If no explicit total is found, derive it by summing the per-dimension scores found in the document. If no explicit rating label is found, derive it from the total via the same threshold function used server-side (duplicate the thresholds client-side if the parser runs in the browser).</w:t>
      </w:r>
    </w:p>
    <w:p>
      <w:r>
        <w:rPr>
          <w:b/>
        </w:rPr>
        <w:t>Steps:</w:t>
      </w:r>
      <w:r>
        <w:t xml:space="preserve"> Layer these fallbacks in whatever function extracts a rating/score from report text, in priority order from most-specific-and-reliable to most-lenient. This is mostly insurance for a project starting with an empty reports directory — the necessity of the fallback logic grows over time as historical format drift accumulates, so it's cheap to build once and forget rather than something to build reactively later.</w:t>
      </w:r>
    </w:p>
    <w:p>
      <w:pPr>
        <w:pStyle w:val="Heading1"/>
      </w:pPr>
      <w:r>
        <w:t>Appendix — Suggested file layout</w:t>
      </w:r>
    </w:p>
    <w:p>
      <w:pPr>
        <w:spacing w:after="120"/>
        <w:ind w:left="432"/>
        <w:shd w:fill="F2F2F2"/>
      </w:pPr>
      <w:r>
        <w:rPr>
          <w:rFonts w:ascii="Consolas" w:hAnsi="Consolas"/>
          <w:sz w:val="17"/>
        </w:rPr>
        <w:t>tradingagents/</w:t>
        <w:br/>
        <w:t xml:space="preserve">  llm_clients/</w:t>
        <w:br/>
        <w:t xml:space="preserve">    xai_grok_client.py          # Step 1a</w:t>
        <w:br/>
        <w:t xml:space="preserve">    openai_codex_client.py      # Step 1b</w:t>
        <w:br/>
        <w:t xml:space="preserve">    factory.py                  # Step 1c (dispatch)</w:t>
        <w:br/>
        <w:t xml:space="preserve">    model_catalog.py            # Step 1c (model lists)</w:t>
        <w:br/>
        <w:t xml:space="preserve">    api_key_env.py              # Step 1c (no-key-needed providers)</w:t>
        <w:br/>
        <w:t xml:space="preserve">  dataflows/</w:t>
        <w:br/>
        <w:t xml:space="preserve">    y_finance.py                # Step 2 (fetch-window fix)</w:t>
        <w:br/>
        <w:t xml:space="preserve">    stockstats_utils.py         # Step 2 (stale-cache fix)</w:t>
        <w:br/>
        <w:t xml:space="preserve">    &lt;local_news_source&gt;.py      # Step 3</w:t>
        <w:br/>
        <w:t xml:space="preserve">    &lt;local_forum_source&gt;.py     # Step 4</w:t>
        <w:br/>
        <w:t xml:space="preserve">    &lt;short_interest_source&gt;.py  # Step 5</w:t>
        <w:br/>
        <w:t xml:space="preserve">  agents/</w:t>
        <w:br/>
        <w:t xml:space="preserve">    analysts/</w:t>
        <w:br/>
        <w:t xml:space="preserve">      market_analyst.py         # Step 8 (signal footer)</w:t>
        <w:br/>
        <w:t xml:space="preserve">      fundamentals_analyst.py   # Step 8</w:t>
        <w:br/>
        <w:t xml:space="preserve">      news_analyst.py           # Step 3, Step 8</w:t>
        <w:br/>
        <w:t xml:space="preserve">      sentiment_analyst.py      # Step 4, Step 8</w:t>
        <w:br/>
        <w:t xml:space="preserve">      short_interest_analyst.py # Step 5</w:t>
        <w:br/>
        <w:t xml:space="preserve">    managers/</w:t>
        <w:br/>
        <w:t xml:space="preserve">      portfolio_manager.py      # Step 7</w:t>
        <w:br/>
        <w:t xml:space="preserve">      research_manager.py       # Step 9</w:t>
        <w:br/>
        <w:t xml:space="preserve">    researchers/</w:t>
        <w:br/>
        <w:t xml:space="preserve">      bull_researcher.py        # Step 5 (short-interest input)</w:t>
        <w:br/>
        <w:t xml:space="preserve">      bear_researcher.py        # Step 5</w:t>
        <w:br/>
        <w:t xml:space="preserve">    schemas.py                  # Step 7 (scoring schema)</w:t>
        <w:br/>
        <w:t xml:space="preserve">    utils/</w:t>
        <w:br/>
        <w:t xml:space="preserve">      agent_states.py           # Step 5 (new report field)</w:t>
        <w:br/>
        <w:t xml:space="preserve">  graph/</w:t>
        <w:br/>
        <w:t xml:space="preserve">    conditional_logic.py        # Step 5 (routing)</w:t>
        <w:br/>
        <w:t xml:space="preserve">    setup.py                    # Step 5 (graph wiring)</w:t>
        <w:br/>
        <w:t xml:space="preserve">    trading_graph.py            # Step 5 (default analyst list)</w:t>
        <w:br/>
        <w:t xml:space="preserve">  performance/</w:t>
        <w:br/>
        <w:t xml:space="preserve">    db.py                       # Step 11</w:t>
        <w:br/>
        <w:t>scripts/</w:t>
        <w:br/>
        <w:t xml:space="preserve">  scan_news.py                  # Step 3</w:t>
        <w:br/>
        <w:t xml:space="preserve">  fetch_company_info.py         # Step 6</w:t>
        <w:br/>
        <w:t xml:space="preserve">  fetch_index_constituents.py   # Step 6</w:t>
        <w:br/>
        <w:t xml:space="preserve">  batch_run.py                  # Step 11</w:t>
        <w:br/>
        <w:t xml:space="preserve">  weekly_batch.sh               # Step 11</w:t>
        <w:br/>
        <w:t xml:space="preserve">  scan_signals.py                # Step 13 (CLI signal scan, optional)</w:t>
        <w:br/>
        <w:t>web/</w:t>
        <w:br/>
        <w:t xml:space="preserve">  server.py                     # Step 10</w:t>
        <w:br/>
        <w:t xml:space="preserve">  static/</w:t>
        <w:br/>
        <w:t xml:space="preserve">    home.html                   # Step 10</w:t>
        <w:br/>
        <w:t xml:space="preserve">    login.html                  # Step 10</w:t>
        <w:br/>
        <w:t xml:space="preserve">    analysis.html                # Step 10</w:t>
        <w:br/>
        <w:t xml:space="preserve">    reports.html                 # Step 10</w:t>
        <w:br/>
        <w:t xml:space="preserve">    performance.html              # Step 10</w:t>
      </w:r>
    </w:p>
    <w:p>
      <w:r>
        <w:rPr>
          <w:b/>
        </w:rPr>
        <w:t>Manual/human steps, gathered in one place:</w:t>
      </w:r>
    </w:p>
    <w:p>
      <w:pPr>
        <w:pStyle w:val="ListNumber"/>
      </w:pPr>
      <w:r>
        <w:rPr>
          <w:rFonts w:ascii="Consolas" w:hAnsi="Consolas"/>
          <w:sz w:val="19"/>
        </w:rPr>
        <w:t>grok login</w:t>
      </w:r>
      <w:r>
        <w:t xml:space="preserve"> — interactive browser OAuth login for xAI Grok (Step 1a). Requires a SuperGrok/X Premium+ subscription.</w:t>
      </w:r>
    </w:p>
    <w:p>
      <w:pPr>
        <w:pStyle w:val="ListNumber"/>
      </w:pPr>
      <w:r>
        <w:rPr>
          <w:rFonts w:ascii="Consolas" w:hAnsi="Consolas"/>
          <w:sz w:val="19"/>
        </w:rPr>
        <w:t>codex login</w:t>
      </w:r>
      <w:r>
        <w:t xml:space="preserve"> — interactive browser OAuth login for OpenAI Codex (Step 1b). Requires a ChatGPT plan with Codex access.</w:t>
      </w:r>
    </w:p>
    <w:p>
      <w:pPr>
        <w:pStyle w:val="ListNumber"/>
      </w:pPr>
      <w:r>
        <w:t xml:space="preserve">Standard API-key providers (if you use any alongside the OAuth ones) — obtain and set the relevant </w:t>
      </w:r>
      <w:r>
        <w:rPr>
          <w:rFonts w:ascii="Consolas" w:hAnsi="Consolas"/>
          <w:sz w:val="19"/>
        </w:rPr>
        <w:t>*_API_KEY</w:t>
      </w:r>
      <w:r>
        <w:t xml:space="preserve"> values yourself; nothing else in this guide depends on them.</w:t>
      </w:r>
    </w:p>
    <w:p>
      <w:pPr>
        <w:pStyle w:val="ListNumber"/>
      </w:pPr>
      <w:r>
        <w:t>Set your own values for the web dashboard's session secret and gate password (Step 10) via environment variables — don't reuse example values.</w:t>
      </w:r>
    </w:p>
    <w:p>
      <w:pPr>
        <w:pStyle w:val="ListNumber"/>
      </w:pPr>
      <w:r>
        <w:t>Seed the index-constituent list and company-metadata cache once manually (Step 6) before relying on scheduled jobs.</w:t>
      </w:r>
    </w:p>
    <w:p>
      <w:pPr>
        <w:pStyle w:val="ListNumber"/>
      </w:pPr>
      <w:r>
        <w:t>Seed the local-news store once manually (Step 3) before relying on the scheduled scanner.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5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3C5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