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shd w:val="clear" w:color="auto" w:fill="1A2B3C"/>
          </w:tcPr>
          <w:p>
            <w:pPr>
              <w:spacing w:before="240" w:after="80"/>
              <w:jc w:val="center"/>
            </w:pPr>
            <w:r>
              <w:rPr>
                <w:b/>
                <w:color w:val="FFBF00"/>
                <w:sz w:val="18"/>
              </w:rPr>
              <w:t>THE WORKS</w:t>
            </w:r>
          </w:p>
          <w:p>
            <w:pPr>
              <w:jc w:val="center"/>
            </w:pPr>
            <w:r>
              <w:rPr>
                <w:b/>
                <w:color w:val="FFFFFF"/>
                <w:sz w:val="40"/>
              </w:rPr>
              <w:t>FREIGHT ADVISORY REPORT</w:t>
            </w:r>
          </w:p>
          <w:p>
            <w:pPr>
              <w:jc w:val="center"/>
            </w:pPr>
            <w:r>
              <w:rPr>
                <w:color w:val="D6E4F0"/>
                <w:sz w:val="22"/>
              </w:rPr>
              <w:t>8 × Volvo Prime Mover + Fuel Tanker  |  Melbourne → Jeddah  |  RoRo</w:t>
            </w:r>
          </w:p>
          <w:p>
            <w:pPr>
              <w:spacing w:after="240"/>
              <w:jc w:val="center"/>
            </w:pPr>
            <w:r>
              <w:rPr>
                <w:color w:val="D9D9D9"/>
                <w:sz w:val="20"/>
              </w:rPr>
              <w:t>27 July 2026</w:t>
            </w:r>
          </w:p>
        </w:tc>
      </w:tr>
    </w:tbl>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F497D"/>
            <w:vAlign w:val="center"/>
          </w:tcPr>
          <w:p>
            <w:pPr>
              <w:spacing w:before="40" w:after="40"/>
            </w:pPr>
            <w:r>
              <w:rPr>
                <w:b/>
                <w:color w:val="FFFFFF"/>
                <w:sz w:val="18"/>
              </w:rPr>
              <w:t>Field</w:t>
            </w:r>
          </w:p>
        </w:tc>
        <w:tc>
          <w:tcPr>
            <w:tcW w:type="dxa" w:w="6236"/>
            <w:shd w:val="clear" w:color="auto" w:fill="1F497D"/>
            <w:vAlign w:val="center"/>
          </w:tcPr>
          <w:p>
            <w:pPr>
              <w:spacing w:before="40" w:after="40"/>
            </w:pPr>
            <w:r>
              <w:rPr>
                <w:b/>
                <w:color w:val="FFFFFF"/>
                <w:sz w:val="18"/>
              </w:rPr>
              <w:t>Detail</w:t>
            </w:r>
          </w:p>
        </w:tc>
      </w:tr>
      <w:tr>
        <w:tc>
          <w:tcPr>
            <w:tcW w:type="dxa" w:w="2835"/>
            <w:shd w:val="clear" w:color="auto" w:fill="FFFFFF"/>
            <w:vAlign w:val="center"/>
          </w:tcPr>
          <w:p>
            <w:pPr>
              <w:spacing w:before="40" w:after="40"/>
            </w:pPr>
            <w:r>
              <w:rPr>
                <w:sz w:val="18"/>
              </w:rPr>
              <w:t>Prepared by</w:t>
            </w:r>
          </w:p>
        </w:tc>
        <w:tc>
          <w:tcPr>
            <w:tcW w:type="dxa" w:w="6236"/>
            <w:shd w:val="clear" w:color="auto" w:fill="FFFFFF"/>
            <w:vAlign w:val="center"/>
          </w:tcPr>
          <w:p>
            <w:pPr>
              <w:spacing w:before="40" w:after="40"/>
            </w:pPr>
            <w:r>
              <w:rPr>
                <w:sz w:val="18"/>
              </w:rPr>
              <w:t>Soren (Global Freight Specialist) + Remy (Compliance Specialist)</w:t>
            </w:r>
          </w:p>
        </w:tc>
      </w:tr>
      <w:tr>
        <w:tc>
          <w:tcPr>
            <w:tcW w:type="dxa" w:w="2835"/>
            <w:shd w:val="clear" w:color="auto" w:fill="F2F2F2"/>
            <w:vAlign w:val="center"/>
          </w:tcPr>
          <w:p>
            <w:pPr>
              <w:spacing w:before="40" w:after="40"/>
            </w:pPr>
            <w:r>
              <w:rPr>
                <w:sz w:val="18"/>
              </w:rPr>
              <w:t>Authorised by</w:t>
            </w:r>
          </w:p>
        </w:tc>
        <w:tc>
          <w:tcPr>
            <w:tcW w:type="dxa" w:w="6236"/>
            <w:shd w:val="clear" w:color="auto" w:fill="F2F2F2"/>
            <w:vAlign w:val="center"/>
          </w:tcPr>
          <w:p>
            <w:pPr>
              <w:spacing w:before="40" w:after="40"/>
            </w:pPr>
            <w:r>
              <w:rPr>
                <w:sz w:val="18"/>
              </w:rPr>
              <w:t>MEO — Orchestrator, The Works</w:t>
            </w:r>
          </w:p>
        </w:tc>
      </w:tr>
      <w:tr>
        <w:tc>
          <w:tcPr>
            <w:tcW w:type="dxa" w:w="2835"/>
            <w:shd w:val="clear" w:color="auto" w:fill="FFFFFF"/>
            <w:vAlign w:val="center"/>
          </w:tcPr>
          <w:p>
            <w:pPr>
              <w:spacing w:before="40" w:after="40"/>
            </w:pPr>
            <w:r>
              <w:rPr>
                <w:sz w:val="18"/>
              </w:rPr>
              <w:t>Date</w:t>
            </w:r>
          </w:p>
        </w:tc>
        <w:tc>
          <w:tcPr>
            <w:tcW w:type="dxa" w:w="6236"/>
            <w:shd w:val="clear" w:color="auto" w:fill="FFFFFF"/>
            <w:vAlign w:val="center"/>
          </w:tcPr>
          <w:p>
            <w:pPr>
              <w:spacing w:before="40" w:after="40"/>
            </w:pPr>
            <w:r>
              <w:rPr>
                <w:sz w:val="18"/>
              </w:rPr>
              <w:t>27 July 2026</w:t>
            </w:r>
          </w:p>
        </w:tc>
      </w:tr>
      <w:tr>
        <w:tc>
          <w:tcPr>
            <w:tcW w:type="dxa" w:w="2835"/>
            <w:shd w:val="clear" w:color="auto" w:fill="F2F2F2"/>
            <w:vAlign w:val="center"/>
          </w:tcPr>
          <w:p>
            <w:pPr>
              <w:spacing w:before="40" w:after="40"/>
            </w:pPr>
            <w:r>
              <w:rPr>
                <w:sz w:val="18"/>
              </w:rPr>
              <w:t>Cargo</w:t>
            </w:r>
          </w:p>
        </w:tc>
        <w:tc>
          <w:tcPr>
            <w:tcW w:type="dxa" w:w="6236"/>
            <w:shd w:val="clear" w:color="auto" w:fill="F2F2F2"/>
            <w:vAlign w:val="center"/>
          </w:tcPr>
          <w:p>
            <w:pPr>
              <w:spacing w:before="40" w:after="40"/>
            </w:pPr>
            <w:r>
              <w:rPr>
                <w:sz w:val="18"/>
              </w:rPr>
              <w:t>8 × Volvo prime mover + fuel tanker road train combination</w:t>
            </w:r>
          </w:p>
        </w:tc>
      </w:tr>
      <w:tr>
        <w:tc>
          <w:tcPr>
            <w:tcW w:type="dxa" w:w="2835"/>
            <w:shd w:val="clear" w:color="auto" w:fill="FFFFFF"/>
            <w:vAlign w:val="center"/>
          </w:tcPr>
          <w:p>
            <w:pPr>
              <w:spacing w:before="40" w:after="40"/>
            </w:pPr>
            <w:r>
              <w:rPr>
                <w:sz w:val="18"/>
              </w:rPr>
              <w:t>Dimensions</w:t>
            </w:r>
          </w:p>
        </w:tc>
        <w:tc>
          <w:tcPr>
            <w:tcW w:type="dxa" w:w="6236"/>
            <w:shd w:val="clear" w:color="auto" w:fill="FFFFFF"/>
            <w:vAlign w:val="center"/>
          </w:tcPr>
          <w:p>
            <w:pPr>
              <w:spacing w:before="40" w:after="40"/>
            </w:pPr>
            <w:r>
              <w:rPr>
                <w:sz w:val="18"/>
              </w:rPr>
              <w:t>18 m L × 3 m W × 2.8 m H per unit</w:t>
            </w:r>
          </w:p>
        </w:tc>
      </w:tr>
      <w:tr>
        <w:tc>
          <w:tcPr>
            <w:tcW w:type="dxa" w:w="2835"/>
            <w:shd w:val="clear" w:color="auto" w:fill="F2F2F2"/>
            <w:vAlign w:val="center"/>
          </w:tcPr>
          <w:p>
            <w:pPr>
              <w:spacing w:before="40" w:after="40"/>
            </w:pPr>
            <w:r>
              <w:rPr>
                <w:sz w:val="18"/>
              </w:rPr>
              <w:t>GVM</w:t>
            </w:r>
          </w:p>
        </w:tc>
        <w:tc>
          <w:tcPr>
            <w:tcW w:type="dxa" w:w="6236"/>
            <w:shd w:val="clear" w:color="auto" w:fill="F2F2F2"/>
            <w:vAlign w:val="center"/>
          </w:tcPr>
          <w:p>
            <w:pPr>
              <w:spacing w:before="40" w:after="40"/>
            </w:pPr>
            <w:r>
              <w:rPr>
                <w:sz w:val="18"/>
              </w:rPr>
              <w:t>20,000 kg per unit</w:t>
            </w:r>
          </w:p>
        </w:tc>
      </w:tr>
      <w:tr>
        <w:tc>
          <w:tcPr>
            <w:tcW w:type="dxa" w:w="2835"/>
            <w:shd w:val="clear" w:color="auto" w:fill="FFFFFF"/>
            <w:vAlign w:val="center"/>
          </w:tcPr>
          <w:p>
            <w:pPr>
              <w:spacing w:before="40" w:after="40"/>
            </w:pPr>
            <w:r>
              <w:rPr>
                <w:sz w:val="18"/>
              </w:rPr>
              <w:t>Total lane metres</w:t>
            </w:r>
          </w:p>
        </w:tc>
        <w:tc>
          <w:tcPr>
            <w:tcW w:type="dxa" w:w="6236"/>
            <w:shd w:val="clear" w:color="auto" w:fill="FFFFFF"/>
            <w:vAlign w:val="center"/>
          </w:tcPr>
          <w:p>
            <w:pPr>
              <w:spacing w:before="40" w:after="40"/>
            </w:pPr>
            <w:r>
              <w:rPr>
                <w:sz w:val="18"/>
              </w:rPr>
              <w:t>144 LM (length basis); 216 LM if 3 m width factor applies — confirm with carrier</w:t>
            </w:r>
          </w:p>
        </w:tc>
      </w:tr>
      <w:tr>
        <w:tc>
          <w:tcPr>
            <w:tcW w:type="dxa" w:w="2835"/>
            <w:shd w:val="clear" w:color="auto" w:fill="F2F2F2"/>
            <w:vAlign w:val="center"/>
          </w:tcPr>
          <w:p>
            <w:pPr>
              <w:spacing w:before="40" w:after="40"/>
            </w:pPr>
            <w:r>
              <w:rPr>
                <w:sz w:val="18"/>
              </w:rPr>
              <w:t>DG status</w:t>
            </w:r>
          </w:p>
        </w:tc>
        <w:tc>
          <w:tcPr>
            <w:tcW w:type="dxa" w:w="6236"/>
            <w:shd w:val="clear" w:color="auto" w:fill="F2F2F2"/>
            <w:vAlign w:val="center"/>
          </w:tcPr>
          <w:p>
            <w:pPr>
              <w:spacing w:before="40" w:after="40"/>
            </w:pPr>
            <w:r>
              <w:rPr>
                <w:sz w:val="18"/>
              </w:rPr>
              <w:t>Degassed — Gas-Free Certificates held; UN 1202 Class 3 PG III (diesel fuel)</w:t>
            </w:r>
          </w:p>
        </w:tc>
      </w:tr>
      <w:tr>
        <w:tc>
          <w:tcPr>
            <w:tcW w:type="dxa" w:w="2835"/>
            <w:shd w:val="clear" w:color="auto" w:fill="FFFFFF"/>
            <w:vAlign w:val="center"/>
          </w:tcPr>
          <w:p>
            <w:pPr>
              <w:spacing w:before="40" w:after="40"/>
            </w:pPr>
            <w:r>
              <w:rPr>
                <w:sz w:val="18"/>
              </w:rPr>
              <w:t>SASO</w:t>
            </w:r>
          </w:p>
        </w:tc>
        <w:tc>
          <w:tcPr>
            <w:tcW w:type="dxa" w:w="6236"/>
            <w:shd w:val="clear" w:color="auto" w:fill="FFFFFF"/>
            <w:vAlign w:val="center"/>
          </w:tcPr>
          <w:p>
            <w:pPr>
              <w:spacing w:before="40" w:after="40"/>
            </w:pPr>
            <w:r>
              <w:rPr>
                <w:sz w:val="18"/>
              </w:rPr>
              <w:t>Confirmed held by owner for Jeddah</w:t>
            </w:r>
          </w:p>
        </w:tc>
      </w:tr>
      <w:tr>
        <w:tc>
          <w:tcPr>
            <w:tcW w:type="dxa" w:w="2835"/>
            <w:shd w:val="clear" w:color="auto" w:fill="F2F2F2"/>
            <w:vAlign w:val="center"/>
          </w:tcPr>
          <w:p>
            <w:pPr>
              <w:spacing w:before="40" w:after="40"/>
            </w:pPr>
            <w:r>
              <w:rPr>
                <w:sz w:val="18"/>
              </w:rPr>
              <w:t>Destination</w:t>
            </w:r>
          </w:p>
        </w:tc>
        <w:tc>
          <w:tcPr>
            <w:tcW w:type="dxa" w:w="6236"/>
            <w:shd w:val="clear" w:color="auto" w:fill="F2F2F2"/>
            <w:vAlign w:val="center"/>
          </w:tcPr>
          <w:p>
            <w:pPr>
              <w:spacing w:before="40" w:after="40"/>
            </w:pPr>
            <w:r>
              <w:rPr>
                <w:sz w:val="18"/>
              </w:rPr>
              <w:t>Jeddah Islamic Port (King Abdulaziz Port), Saudi Arabia</w:t>
            </w:r>
          </w:p>
        </w:tc>
      </w:tr>
      <w:tr>
        <w:tc>
          <w:tcPr>
            <w:tcW w:type="dxa" w:w="2835"/>
            <w:shd w:val="clear" w:color="auto" w:fill="FFFFFF"/>
            <w:vAlign w:val="center"/>
          </w:tcPr>
          <w:p>
            <w:pPr>
              <w:spacing w:before="40" w:after="40"/>
            </w:pPr>
            <w:r>
              <w:rPr>
                <w:sz w:val="18"/>
              </w:rPr>
              <w:t>Priority</w:t>
            </w:r>
          </w:p>
        </w:tc>
        <w:tc>
          <w:tcPr>
            <w:tcW w:type="dxa" w:w="6236"/>
            <w:shd w:val="clear" w:color="auto" w:fill="FFFFFF"/>
            <w:vAlign w:val="center"/>
          </w:tcPr>
          <w:p>
            <w:pPr>
              <w:spacing w:before="40" w:after="40"/>
            </w:pPr>
            <w:r>
              <w:rPr>
                <w:sz w:val="18"/>
              </w:rPr>
              <w:t>Cost minimisation</w:t>
            </w:r>
          </w:p>
        </w:tc>
      </w:tr>
    </w:tbl>
    <w:p/>
    <w:p>
      <w:r>
        <w:br w:type="page"/>
      </w:r>
    </w:p>
    <w:p>
      <w:pPr>
        <w:spacing w:before="360" w:after="80"/>
        <w:pBdr>
          <w:bottom w:val="single" w:sz="6" w:space="1" w:color="1F497D"/>
        </w:pBdr>
      </w:pPr>
      <w:r>
        <w:rPr>
          <w:b/>
          <w:color w:val="1F497D"/>
          <w:sz w:val="26"/>
        </w:rPr>
        <w:t>PART 1 — OPERATING ENVIRONMENT: DUAL CHOKEPOINT CRISIS</w:t>
      </w:r>
    </w:p>
    <w:tbl>
      <w:tblPr>
        <w:tblStyle w:val="TableGrid"/>
        <w:tblW w:type="auto" w:w="0"/>
        <w:tblLook w:firstColumn="1" w:firstRow="1" w:lastColumn="0" w:lastRow="0" w:noHBand="0" w:noVBand="1" w:val="04A0"/>
      </w:tblPr>
      <w:tblGrid>
        <w:gridCol w:w="9406"/>
      </w:tblGrid>
      <w:tr>
        <w:tc>
          <w:tcPr>
            <w:tcW w:type="dxa" w:w="9406"/>
            <w:shd w:val="clear" w:color="auto" w:fill="FCE4D6"/>
          </w:tcPr>
          <w:p>
            <w:pPr>
              <w:spacing w:before="80"/>
            </w:pPr>
            <w:r>
              <w:rPr>
                <w:b/>
                <w:color w:val="C00000"/>
                <w:sz w:val="20"/>
              </w:rPr>
              <w:t>⚠  CRITICAL CONTEXT — READ BEFORE ROUTING DECISIONS</w:t>
              <w:br/>
            </w:r>
            <w:r>
              <w:rPr>
                <w:sz w:val="20"/>
              </w:rPr>
              <w:t>Both major chokepoints on the standard Australia–Middle East freight corridor are simultaneously disrupted as at 27 July 2026.</w:t>
              <w:br/>
            </w:r>
            <w:r>
              <w:rPr>
                <w:sz w:val="20"/>
              </w:rPr>
              <w:t>This is not a normal market condition. All routing decisions in this report are assessed against this backdrop.</w:t>
              <w:br/>
            </w:r>
          </w:p>
        </w:tc>
      </w:tr>
    </w:tbl>
    <w:p/>
    <w:p>
      <w:pPr>
        <w:spacing w:before="240" w:after="40"/>
      </w:pPr>
      <w:r>
        <w:rPr>
          <w:b/>
          <w:color w:val="1A2B3C"/>
          <w:sz w:val="22"/>
        </w:rPr>
        <w:t>1.1  Red Sea / Bab el-Mandeb — Active Houthi Maritime Embargo</w:t>
      </w:r>
    </w:p>
    <w:p>
      <w:pPr>
        <w:spacing w:before="40" w:after="80"/>
      </w:pPr>
      <w:r>
        <w:rPr>
          <w:b w:val="0"/>
          <w:i w:val="0"/>
          <w:sz w:val="20"/>
        </w:rPr>
        <w:t>On 20 July 2026, Houthi forces declared a maritime embargo specifically targeting Saudi-bound commercial vessels, stating ships calling at Saudi terminals face targeting anywhere within their operational reach. On 22 July 2026, the Houthis claimed attacks on two Saudi oil tankers.</w:t>
      </w:r>
    </w:p>
    <w:p>
      <w:pPr>
        <w:spacing w:before="40" w:after="80"/>
      </w:pPr>
      <w:r>
        <w:rPr>
          <w:b w:val="0"/>
          <w:i w:val="0"/>
          <w:sz w:val="20"/>
        </w:rPr>
        <w:t>War risk insurance for southern Red Sea voyages has surged from approximately 0.3% of vessel value pre-announcement to 0.75–1%+ as of 21–23 July 2026, with some Saudi-linked cargo quoted as high as 3%.</w:t>
      </w:r>
    </w:p>
    <w:p>
      <w:pPr>
        <w:spacing w:before="40" w:after="80"/>
      </w:pPr>
      <w:r>
        <w:rPr>
          <w:b w:val="0"/>
          <w:i/>
          <w:color w:val="404040"/>
          <w:sz w:val="20"/>
        </w:rPr>
        <w:t>Source: MARAD Advisory 2026-006; Insurance Journal 21–23 Jul 2026; Al Jazeera 22 Jul 2026 — observed 27 Jul 2026.</w:t>
      </w:r>
    </w:p>
    <w:p>
      <w:pPr>
        <w:spacing w:before="240" w:after="40"/>
      </w:pPr>
      <w:r>
        <w:rPr>
          <w:b/>
          <w:color w:val="1A2B3C"/>
          <w:sz w:val="22"/>
        </w:rPr>
        <w:t>1.2  Strait of Hormuz — Day 148 of Closure</w:t>
      </w:r>
    </w:p>
    <w:p>
      <w:pPr>
        <w:spacing w:before="40" w:after="80"/>
      </w:pPr>
      <w:r>
        <w:rPr>
          <w:b w:val="0"/>
          <w:i w:val="0"/>
          <w:sz w:val="20"/>
        </w:rPr>
        <w:t>On 28 February 2026, the United States and Israel launched military operations against Iran. Iran declared the Strait of Hormuz closed to commercial traffic. As at 27 July 2026, this is Day 148 of the crisis. Vessel traffic is down approximately 90% year-on-year — approximately 10 ships/day against a pre-crisis baseline of ~88/day. Approximately 70% of remaining transits run dark (AIS disabled).</w:t>
      </w:r>
    </w:p>
    <w:p>
      <w:pPr>
        <w:spacing w:before="40" w:after="80"/>
      </w:pPr>
      <w:r>
        <w:rPr>
          <w:b w:val="0"/>
          <w:i w:val="0"/>
          <w:sz w:val="20"/>
        </w:rPr>
        <w:t>Jebel Ali (Dubai) and Dammam (Saudi Arabia, Arabian Gulf) are effectively inaccessible via normal Hormuz routing.</w:t>
      </w:r>
    </w:p>
    <w:p>
      <w:pPr>
        <w:spacing w:before="40" w:after="80"/>
      </w:pPr>
      <w:r>
        <w:rPr>
          <w:b w:val="0"/>
          <w:i/>
          <w:color w:val="404040"/>
          <w:sz w:val="20"/>
        </w:rPr>
        <w:t>Source: straits.live live tracker; Windward Daily Intelligence; Lloyd's List Intelligence 21 Jul 2026; CNBC 21 Jul 2026 — observed 27 Jul 2026.</w:t>
      </w:r>
    </w:p>
    <w:p>
      <w:pPr>
        <w:spacing w:before="240" w:after="40"/>
      </w:pPr>
      <w:r>
        <w:rPr>
          <w:b/>
          <w:color w:val="1A2B3C"/>
          <w:sz w:val="22"/>
        </w:rPr>
        <w:t>1.3  Implication for This Shipment</w:t>
      </w:r>
    </w:p>
    <w:p>
      <w:pPr>
        <w:spacing w:before="40" w:after="80"/>
      </w:pPr>
      <w:r>
        <w:rPr>
          <w:b w:val="0"/>
          <w:i w:val="0"/>
          <w:sz w:val="20"/>
        </w:rPr>
        <w:t>The standard Melbourne → Indian Ocean → Hormuz → Jebel Ali/Dammam path is effectively blocked. The Melbourne → Indian Ocean → Bab el-Mandeb → Jeddah path carries active war risk targeting Saudi-bound vessels.</w:t>
      </w:r>
    </w:p>
    <w:p>
      <w:pPr>
        <w:spacing w:before="40" w:after="80"/>
      </w:pPr>
      <w:r>
        <w:rPr>
          <w:b w:val="0"/>
          <w:i w:val="0"/>
          <w:sz w:val="20"/>
        </w:rPr>
        <w:t>The viable alternative corridor is: Indian Ocean → Gulf of Oman → UAE east coast ports (Khorfakkan or Fujairah). These ports are accessible WITHOUT transiting Hormuz, and without Red Sea exposure. All three routing scenarios in this report are assessed against this reality.</w:t>
      </w:r>
    </w:p>
    <w:p>
      <w:r>
        <w:br w:type="page"/>
      </w:r>
    </w:p>
    <w:p>
      <w:pPr>
        <w:spacing w:before="360" w:after="80"/>
        <w:pBdr>
          <w:bottom w:val="single" w:sz="6" w:space="1" w:color="1F497D"/>
        </w:pBdr>
      </w:pPr>
      <w:r>
        <w:rPr>
          <w:b/>
          <w:color w:val="1F497D"/>
          <w:sz w:val="26"/>
        </w:rPr>
        <w:t>PART 2 — ROUTING SCENARIOS</w:t>
      </w:r>
    </w:p>
    <w:p>
      <w:pPr>
        <w:spacing w:before="240" w:after="40"/>
      </w:pPr>
      <w:r>
        <w:rPr>
          <w:b/>
          <w:color w:val="1A2B3C"/>
          <w:sz w:val="22"/>
        </w:rPr>
        <w:t>2.1  Scenario A — Melbourne → Red Sea → Jeddah Islamic Port (ORIGINAL)</w:t>
      </w:r>
    </w:p>
    <w:tbl>
      <w:tblPr>
        <w:tblStyle w:val="TableGrid"/>
        <w:tblW w:type="auto" w:w="0"/>
        <w:tblLook w:firstColumn="1" w:firstRow="1" w:lastColumn="0" w:lastRow="0" w:noHBand="0" w:noVBand="1" w:val="04A0"/>
      </w:tblPr>
      <w:tblGrid>
        <w:gridCol w:w="9406"/>
      </w:tblGrid>
      <w:tr>
        <w:tc>
          <w:tcPr>
            <w:tcW w:type="dxa" w:w="9406"/>
            <w:shd w:val="clear" w:color="auto" w:fill="FCE4D6"/>
          </w:tcPr>
          <w:p>
            <w:pPr>
              <w:spacing w:before="80"/>
            </w:pPr>
            <w:r>
              <w:rPr>
                <w:b/>
                <w:color w:val="C00000"/>
                <w:sz w:val="20"/>
              </w:rPr>
              <w:t>⚠  NOT RECOMMENDED — Active Houthi maritime embargo on Saudi-bound vessels</w:t>
              <w:br/>
            </w:r>
            <w:r>
              <w:rPr>
                <w:sz w:val="20"/>
              </w:rPr>
              <w:t>Do not book Scenario A without board-level risk acceptance from the owner.</w:t>
              <w:br/>
            </w:r>
            <w:r>
              <w:rPr>
                <w:sz w:val="20"/>
              </w:rPr>
              <w:t>WWL has moved all vessels to Cape of Good Hope diversion. War risk surcharge is live and escalating.</w:t>
              <w:br/>
            </w:r>
          </w:p>
        </w:tc>
      </w:tr>
    </w:tbl>
    <w:p/>
    <w:p>
      <w:pPr>
        <w:spacing w:before="40" w:after="80"/>
      </w:pPr>
      <w:r>
        <w:rPr>
          <w:b w:val="0"/>
          <w:i w:val="0"/>
          <w:sz w:val="20"/>
        </w:rPr>
        <w:t>Route: Melbourne → Singapore or Port Klang (transhipment) → Indian Ocean → Gulf of Aden → Bab el-Mandeb → Red Sea → Jeddah Islamic Port.</w:t>
      </w:r>
    </w:p>
    <w:p>
      <w:pPr>
        <w:spacing w:before="40" w:after="80"/>
      </w:pPr>
      <w:r>
        <w:rPr>
          <w:b w:val="0"/>
          <w:i w:val="0"/>
          <w:sz w:val="20"/>
        </w:rPr>
        <w:t>Carrier positions as at 27 July 2026:</w:t>
      </w:r>
    </w:p>
    <w:p>
      <w:pPr>
        <w:pStyle w:val="ListBullet"/>
        <w:spacing w:before="20" w:after="20"/>
        <w:ind w:left="360"/>
      </w:pPr>
      <w:r>
        <w:rPr>
          <w:sz w:val="20"/>
        </w:rPr>
        <w:t>WWL: All vessels diverted via Cape of Good Hope. Can reach Jeddah from north (Cape → Atlantic → Mediterranean → Suez Canal → Red Sea northward to Jeddah), avoiding Bab el-Mandeb. Transit time premium: +14–20 days vs. direct. Cost premium: ~25–40%.</w:t>
      </w:r>
    </w:p>
    <w:p>
      <w:pPr>
        <w:pStyle w:val="ListBullet"/>
        <w:spacing w:before="20" w:after="20"/>
        <w:ind w:left="360"/>
      </w:pPr>
      <w:r>
        <w:rPr>
          <w:sz w:val="20"/>
        </w:rPr>
        <w:t>Höegh: Historically continued Red Sea transit. Current position post-20 Jul embargo not confirmed.</w:t>
      </w:r>
    </w:p>
    <w:p>
      <w:pPr>
        <w:pStyle w:val="ListBullet"/>
        <w:spacing w:before="20" w:after="20"/>
        <w:ind w:left="360"/>
      </w:pPr>
      <w:r>
        <w:rPr>
          <w:sz w:val="20"/>
        </w:rPr>
        <w:t>NYK: Schedule includes Jeddah. Current routing post-embargo not confirmed in this research.</w:t>
      </w:r>
    </w:p>
    <w:p>
      <w:pPr>
        <w:pStyle w:val="ListBullet"/>
        <w:spacing w:before="20" w:after="20"/>
        <w:ind w:left="360"/>
      </w:pPr>
      <w:r>
        <w:rPr>
          <w:sz w:val="20"/>
        </w:rPr>
        <w:t>K-Line / MOL: Routing position not confirmed.</w:t>
      </w:r>
    </w:p>
    <w:tbl>
      <w:tblPr>
        <w:tblStyle w:val="TableGrid"/>
        <w:tblW w:type="auto" w:w="0"/>
        <w:jc w:val="left"/>
        <w:tblLook w:firstColumn="1" w:firstRow="1" w:lastColumn="0" w:lastRow="0" w:noHBand="0" w:noVBand="1" w:val="04A0"/>
      </w:tblPr>
      <w:tblGrid>
        <w:gridCol w:w="4703"/>
        <w:gridCol w:w="4703"/>
      </w:tblGrid>
      <w:tr>
        <w:tc>
          <w:tcPr>
            <w:tcW w:type="dxa" w:w="3969"/>
            <w:shd w:val="clear" w:color="auto" w:fill="1F497D"/>
            <w:vAlign w:val="center"/>
          </w:tcPr>
          <w:p>
            <w:pPr>
              <w:spacing w:before="40" w:after="40"/>
            </w:pPr>
            <w:r>
              <w:rPr>
                <w:b/>
                <w:color w:val="FFFFFF"/>
                <w:sz w:val="18"/>
              </w:rPr>
              <w:t>Parameter</w:t>
            </w:r>
          </w:p>
        </w:tc>
        <w:tc>
          <w:tcPr>
            <w:tcW w:type="dxa" w:w="5102"/>
            <w:shd w:val="clear" w:color="auto" w:fill="1F497D"/>
            <w:vAlign w:val="center"/>
          </w:tcPr>
          <w:p>
            <w:pPr>
              <w:spacing w:before="40" w:after="40"/>
            </w:pPr>
            <w:r>
              <w:rPr>
                <w:b/>
                <w:color w:val="FFFFFF"/>
                <w:sz w:val="18"/>
              </w:rPr>
              <w:t>Detail</w:t>
            </w:r>
          </w:p>
        </w:tc>
      </w:tr>
      <w:tr>
        <w:tc>
          <w:tcPr>
            <w:tcW w:type="dxa" w:w="3969"/>
            <w:shd w:val="clear" w:color="auto" w:fill="FFFFFF"/>
            <w:vAlign w:val="center"/>
          </w:tcPr>
          <w:p>
            <w:pPr>
              <w:spacing w:before="40" w:after="40"/>
            </w:pPr>
            <w:r>
              <w:rPr>
                <w:sz w:val="18"/>
              </w:rPr>
              <w:t>Sea transit (direct via Bab el-Mandeb)</w:t>
            </w:r>
          </w:p>
        </w:tc>
        <w:tc>
          <w:tcPr>
            <w:tcW w:type="dxa" w:w="5102"/>
            <w:shd w:val="clear" w:color="auto" w:fill="FFFFFF"/>
            <w:vAlign w:val="center"/>
          </w:tcPr>
          <w:p>
            <w:pPr>
              <w:spacing w:before="40" w:after="40"/>
            </w:pPr>
            <w:r>
              <w:rPr>
                <w:sz w:val="18"/>
              </w:rPr>
              <w:t>35–42 days Melbourne to Jeddah (inc. Singapore transhipment 5–10 days)</w:t>
            </w:r>
          </w:p>
        </w:tc>
      </w:tr>
      <w:tr>
        <w:tc>
          <w:tcPr>
            <w:tcW w:type="dxa" w:w="3969"/>
            <w:shd w:val="clear" w:color="auto" w:fill="F2F2F2"/>
            <w:vAlign w:val="center"/>
          </w:tcPr>
          <w:p>
            <w:pPr>
              <w:spacing w:before="40" w:after="40"/>
            </w:pPr>
            <w:r>
              <w:rPr>
                <w:sz w:val="18"/>
              </w:rPr>
              <w:t>Sea transit (WWL Cape/Suez approach)</w:t>
            </w:r>
          </w:p>
        </w:tc>
        <w:tc>
          <w:tcPr>
            <w:tcW w:type="dxa" w:w="5102"/>
            <w:shd w:val="clear" w:color="auto" w:fill="F2F2F2"/>
            <w:vAlign w:val="center"/>
          </w:tcPr>
          <w:p>
            <w:pPr>
              <w:spacing w:before="40" w:after="40"/>
            </w:pPr>
            <w:r>
              <w:rPr>
                <w:sz w:val="18"/>
              </w:rPr>
              <w:t>50–60 days Melbourne to Jeddah</w:t>
            </w:r>
          </w:p>
        </w:tc>
      </w:tr>
      <w:tr>
        <w:tc>
          <w:tcPr>
            <w:tcW w:type="dxa" w:w="3969"/>
            <w:shd w:val="clear" w:color="auto" w:fill="FFFFFF"/>
            <w:vAlign w:val="center"/>
          </w:tcPr>
          <w:p>
            <w:pPr>
              <w:spacing w:before="40" w:after="40"/>
            </w:pPr>
            <w:r>
              <w:rPr>
                <w:sz w:val="18"/>
              </w:rPr>
              <w:t>War risk surcharge (sea leg)</w:t>
            </w:r>
          </w:p>
        </w:tc>
        <w:tc>
          <w:tcPr>
            <w:tcW w:type="dxa" w:w="5102"/>
            <w:shd w:val="clear" w:color="auto" w:fill="FFFFFF"/>
            <w:vAlign w:val="center"/>
          </w:tcPr>
          <w:p>
            <w:pPr>
              <w:spacing w:before="40" w:after="40"/>
            </w:pPr>
            <w:r>
              <w:rPr>
                <w:sz w:val="18"/>
              </w:rPr>
              <w:t>0.75–3% of cargo declared value — active as at 23 Jul 2026</w:t>
            </w:r>
          </w:p>
        </w:tc>
      </w:tr>
      <w:tr>
        <w:tc>
          <w:tcPr>
            <w:tcW w:type="dxa" w:w="3969"/>
            <w:shd w:val="clear" w:color="auto" w:fill="F2F2F2"/>
            <w:vAlign w:val="center"/>
          </w:tcPr>
          <w:p>
            <w:pPr>
              <w:spacing w:before="40" w:after="40"/>
            </w:pPr>
            <w:r>
              <w:rPr>
                <w:sz w:val="18"/>
              </w:rPr>
              <w:t>War risk surcharge (cost impact)</w:t>
            </w:r>
          </w:p>
        </w:tc>
        <w:tc>
          <w:tcPr>
            <w:tcW w:type="dxa" w:w="5102"/>
            <w:shd w:val="clear" w:color="auto" w:fill="F2F2F2"/>
            <w:vAlign w:val="center"/>
          </w:tcPr>
          <w:p>
            <w:pPr>
              <w:spacing w:before="40" w:after="40"/>
            </w:pPr>
            <w:r>
              <w:rPr>
                <w:sz w:val="18"/>
              </w:rPr>
              <w:t>USD 8,000–50,000+ depending on declared value</w:t>
            </w:r>
          </w:p>
        </w:tc>
      </w:tr>
      <w:tr>
        <w:tc>
          <w:tcPr>
            <w:tcW w:type="dxa" w:w="3969"/>
            <w:shd w:val="clear" w:color="auto" w:fill="FFFFFF"/>
            <w:vAlign w:val="center"/>
          </w:tcPr>
          <w:p>
            <w:pPr>
              <w:spacing w:before="40" w:after="40"/>
            </w:pPr>
            <w:r>
              <w:rPr>
                <w:sz w:val="18"/>
              </w:rPr>
              <w:t>Port handling — Jeddah THC</w:t>
            </w:r>
          </w:p>
        </w:tc>
        <w:tc>
          <w:tcPr>
            <w:tcW w:type="dxa" w:w="5102"/>
            <w:shd w:val="clear" w:color="auto" w:fill="FFFFFF"/>
            <w:vAlign w:val="center"/>
          </w:tcPr>
          <w:p>
            <w:pPr>
              <w:spacing w:before="40" w:after="40"/>
            </w:pPr>
            <w:r>
              <w:rPr>
                <w:sz w:val="18"/>
              </w:rPr>
              <w:t>USD 150–250 per unit (est.) = USD 1,200–2,000 total</w:t>
            </w:r>
          </w:p>
        </w:tc>
      </w:tr>
      <w:tr>
        <w:tc>
          <w:tcPr>
            <w:tcW w:type="dxa" w:w="3969"/>
            <w:shd w:val="clear" w:color="auto" w:fill="F2F2F2"/>
            <w:vAlign w:val="center"/>
          </w:tcPr>
          <w:p>
            <w:pPr>
              <w:spacing w:before="40" w:after="40"/>
            </w:pPr>
            <w:r>
              <w:rPr>
                <w:sz w:val="18"/>
              </w:rPr>
              <w:t>Chokepoint exposure</w:t>
            </w:r>
          </w:p>
        </w:tc>
        <w:tc>
          <w:tcPr>
            <w:tcW w:type="dxa" w:w="5102"/>
            <w:shd w:val="clear" w:color="auto" w:fill="F2F2F2"/>
            <w:vAlign w:val="center"/>
          </w:tcPr>
          <w:p>
            <w:pPr>
              <w:spacing w:before="40" w:after="40"/>
            </w:pPr>
            <w:r>
              <w:rPr>
                <w:sz w:val="18"/>
              </w:rPr>
              <w:t>HIGH — Bab el-Mandeb; Houthi embargo active</w:t>
            </w:r>
          </w:p>
        </w:tc>
      </w:tr>
    </w:tbl>
    <w:p/>
    <w:p>
      <w:pPr>
        <w:spacing w:before="240" w:after="40"/>
      </w:pPr>
      <w:r>
        <w:rPr>
          <w:b/>
          <w:color w:val="1A2B3C"/>
          <w:sz w:val="22"/>
        </w:rPr>
        <w:t>2.2  Scenario B — Melbourne → Khorfakkan (UAE) → Overland to Dammam → Saudi Arabia</w:t>
      </w:r>
    </w:p>
    <w:tbl>
      <w:tblPr>
        <w:tblStyle w:val="TableGrid"/>
        <w:tblW w:type="auto" w:w="0"/>
        <w:tblLook w:firstColumn="1" w:firstRow="1" w:lastColumn="0" w:lastRow="0" w:noHBand="0" w:noVBand="1" w:val="04A0"/>
      </w:tblPr>
      <w:tblGrid>
        <w:gridCol w:w="9406"/>
      </w:tblGrid>
      <w:tr>
        <w:tc>
          <w:tcPr>
            <w:tcW w:type="dxa" w:w="9406"/>
            <w:shd w:val="clear" w:color="auto" w:fill="E2EFDA"/>
          </w:tcPr>
          <w:p>
            <w:pPr>
              <w:spacing w:before="80"/>
            </w:pPr>
            <w:r>
              <w:rPr>
                <w:b/>
                <w:color w:val="375E23"/>
                <w:sz w:val="20"/>
              </w:rPr>
              <w:t>PREFERRED ROUTING (on risk basis)</w:t>
              <w:br/>
            </w:r>
            <w:r>
              <w:rPr>
                <w:sz w:val="20"/>
              </w:rPr>
              <w:t>No Red Sea exposure. No Hormuz exposure. SASO certification valid at any Saudi port of entry.</w:t>
              <w:br/>
            </w:r>
            <w:r>
              <w:rPr>
                <w:sz w:val="20"/>
              </w:rPr>
              <w:t>Key constraint: ~4-week minimum wait at Khorfakkan due to diverted vessel congestion.</w:t>
              <w:br/>
            </w:r>
          </w:p>
        </w:tc>
      </w:tr>
    </w:tbl>
    <w:p/>
    <w:p>
      <w:pPr>
        <w:spacing w:before="40" w:after="80"/>
      </w:pPr>
      <w:r>
        <w:rPr>
          <w:b w:val="0"/>
          <w:i w:val="0"/>
          <w:sz w:val="20"/>
        </w:rPr>
        <w:t>Route: Melbourne → Singapore or Port Klang (transhipment) → Indian Ocean → Khorfakkan (Sharjah, UAE) → road approximately 700–800 km → Dammam (King Abdulaziz Port, Eastern Province, Saudi Arabia).</w:t>
      </w:r>
    </w:p>
    <w:p>
      <w:pPr>
        <w:spacing w:before="40" w:after="80"/>
      </w:pPr>
      <w:r>
        <w:rPr>
          <w:b w:val="0"/>
          <w:i w:val="0"/>
          <w:sz w:val="20"/>
        </w:rPr>
        <w:t>Khorfakkan port is located on the Gulf of Oman coast — accessible from the Indian Ocean without transiting the Strait of Hormuz. It is a 6-berth deep-water facility operated by Gulftainer, with confirmed RoRo capability for H&amp;H cargo.</w:t>
      </w:r>
    </w:p>
    <w:p>
      <w:pPr>
        <w:spacing w:before="40" w:after="80"/>
      </w:pPr>
      <w:r>
        <w:rPr>
          <w:b w:val="0"/>
          <w:i w:val="0"/>
          <w:sz w:val="20"/>
        </w:rPr>
        <w:t>Dammam (King Abdulaziz Port) has dedicated H&amp;H RoRo berths (27, 28, 29 and 35, 36 with RoRo ramps). Full heavy vehicle discharge capability confirmed.</w:t>
      </w:r>
    </w:p>
    <w:p>
      <w:pPr>
        <w:spacing w:before="40" w:after="80"/>
      </w:pPr>
      <w:r>
        <w:rPr>
          <w:b w:val="0"/>
          <w:i w:val="0"/>
          <w:sz w:val="20"/>
        </w:rPr>
        <w:t>The Sharjah-Sajaa-Dammam bonded dry port corridor (launched 2026) provides a structured freight pathway for overland transit.</w:t>
      </w:r>
    </w:p>
    <w:p>
      <w:pPr>
        <w:spacing w:before="40" w:after="80"/>
      </w:pPr>
      <w:r>
        <w:rPr>
          <w:b w:val="0"/>
          <w:i w:val="0"/>
          <w:sz w:val="20"/>
        </w:rPr>
        <w:t>SASO/ZATCA at Dammam: SASO type approval is nationally administered — the owner's certificate is valid at Dammam (or any Saudi port of entry), not Jeddah-specific. ZATCA customs processing applies identically at Dammam.</w:t>
      </w:r>
    </w:p>
    <w:tbl>
      <w:tblPr>
        <w:tblStyle w:val="TableGrid"/>
        <w:tblW w:type="auto" w:w="0"/>
        <w:jc w:val="left"/>
        <w:tblLook w:firstColumn="1" w:firstRow="1" w:lastColumn="0" w:lastRow="0" w:noHBand="0" w:noVBand="1" w:val="04A0"/>
      </w:tblPr>
      <w:tblGrid>
        <w:gridCol w:w="4703"/>
        <w:gridCol w:w="4703"/>
      </w:tblGrid>
      <w:tr>
        <w:tc>
          <w:tcPr>
            <w:tcW w:type="dxa" w:w="3969"/>
            <w:shd w:val="clear" w:color="auto" w:fill="1F497D"/>
            <w:vAlign w:val="center"/>
          </w:tcPr>
          <w:p>
            <w:pPr>
              <w:spacing w:before="40" w:after="40"/>
            </w:pPr>
            <w:r>
              <w:rPr>
                <w:b/>
                <w:color w:val="FFFFFF"/>
                <w:sz w:val="18"/>
              </w:rPr>
              <w:t>Parameter</w:t>
            </w:r>
          </w:p>
        </w:tc>
        <w:tc>
          <w:tcPr>
            <w:tcW w:type="dxa" w:w="5102"/>
            <w:shd w:val="clear" w:color="auto" w:fill="1F497D"/>
            <w:vAlign w:val="center"/>
          </w:tcPr>
          <w:p>
            <w:pPr>
              <w:spacing w:before="40" w:after="40"/>
            </w:pPr>
            <w:r>
              <w:rPr>
                <w:b/>
                <w:color w:val="FFFFFF"/>
                <w:sz w:val="18"/>
              </w:rPr>
              <w:t>Detail</w:t>
            </w:r>
          </w:p>
        </w:tc>
      </w:tr>
      <w:tr>
        <w:tc>
          <w:tcPr>
            <w:tcW w:type="dxa" w:w="3969"/>
            <w:shd w:val="clear" w:color="auto" w:fill="FFFFFF"/>
            <w:vAlign w:val="center"/>
          </w:tcPr>
          <w:p>
            <w:pPr>
              <w:spacing w:before="40" w:after="40"/>
            </w:pPr>
            <w:r>
              <w:rPr>
                <w:sz w:val="18"/>
              </w:rPr>
              <w:t>Sea transit to Khorfakkan</w:t>
            </w:r>
          </w:p>
        </w:tc>
        <w:tc>
          <w:tcPr>
            <w:tcW w:type="dxa" w:w="5102"/>
            <w:shd w:val="clear" w:color="auto" w:fill="FFFFFF"/>
            <w:vAlign w:val="center"/>
          </w:tcPr>
          <w:p>
            <w:pPr>
              <w:spacing w:before="40" w:after="40"/>
            </w:pPr>
            <w:r>
              <w:rPr>
                <w:sz w:val="18"/>
              </w:rPr>
              <w:t>32–40 days Melbourne to Khorfakkan</w:t>
            </w:r>
          </w:p>
        </w:tc>
      </w:tr>
      <w:tr>
        <w:tc>
          <w:tcPr>
            <w:tcW w:type="dxa" w:w="3969"/>
            <w:shd w:val="clear" w:color="auto" w:fill="F2F2F2"/>
            <w:vAlign w:val="center"/>
          </w:tcPr>
          <w:p>
            <w:pPr>
              <w:spacing w:before="40" w:after="40"/>
            </w:pPr>
            <w:r>
              <w:rPr>
                <w:sz w:val="18"/>
              </w:rPr>
              <w:t>Khorfakkan port wait (current)</w:t>
            </w:r>
          </w:p>
        </w:tc>
        <w:tc>
          <w:tcPr>
            <w:tcW w:type="dxa" w:w="5102"/>
            <w:shd w:val="clear" w:color="auto" w:fill="F2F2F2"/>
            <w:vAlign w:val="center"/>
          </w:tcPr>
          <w:p>
            <w:pPr>
              <w:spacing w:before="40" w:after="40"/>
            </w:pPr>
            <w:r>
              <w:rPr>
                <w:sz w:val="18"/>
              </w:rPr>
              <w:t>~4 weeks minimum (congestion from Hormuz diversion surge)</w:t>
            </w:r>
          </w:p>
        </w:tc>
      </w:tr>
      <w:tr>
        <w:tc>
          <w:tcPr>
            <w:tcW w:type="dxa" w:w="3969"/>
            <w:shd w:val="clear" w:color="auto" w:fill="FFFFFF"/>
            <w:vAlign w:val="center"/>
          </w:tcPr>
          <w:p>
            <w:pPr>
              <w:spacing w:before="40" w:after="40"/>
            </w:pPr>
            <w:r>
              <w:rPr>
                <w:sz w:val="18"/>
              </w:rPr>
              <w:t>Overland leg</w:t>
            </w:r>
          </w:p>
        </w:tc>
        <w:tc>
          <w:tcPr>
            <w:tcW w:type="dxa" w:w="5102"/>
            <w:shd w:val="clear" w:color="auto" w:fill="FFFFFF"/>
            <w:vAlign w:val="center"/>
          </w:tcPr>
          <w:p>
            <w:pPr>
              <w:spacing w:before="40" w:after="40"/>
            </w:pPr>
            <w:r>
              <w:rPr>
                <w:sz w:val="18"/>
              </w:rPr>
              <w:t>Khorfakkan → Dammam ~700–800 km; estimated 2–4 days road transit including Saudi border customs</w:t>
            </w:r>
          </w:p>
        </w:tc>
      </w:tr>
      <w:tr>
        <w:tc>
          <w:tcPr>
            <w:tcW w:type="dxa" w:w="3969"/>
            <w:shd w:val="clear" w:color="auto" w:fill="F2F2F2"/>
            <w:vAlign w:val="center"/>
          </w:tcPr>
          <w:p>
            <w:pPr>
              <w:spacing w:before="40" w:after="40"/>
            </w:pPr>
            <w:r>
              <w:rPr>
                <w:sz w:val="18"/>
              </w:rPr>
              <w:t>Total elapsed time</w:t>
            </w:r>
          </w:p>
        </w:tc>
        <w:tc>
          <w:tcPr>
            <w:tcW w:type="dxa" w:w="5102"/>
            <w:shd w:val="clear" w:color="auto" w:fill="F2F2F2"/>
            <w:vAlign w:val="center"/>
          </w:tcPr>
          <w:p>
            <w:pPr>
              <w:spacing w:before="40" w:after="40"/>
            </w:pPr>
            <w:r>
              <w:rPr>
                <w:sz w:val="18"/>
              </w:rPr>
              <w:t>65–90 days Melbourne to Dammam</w:t>
            </w:r>
          </w:p>
        </w:tc>
      </w:tr>
      <w:tr>
        <w:tc>
          <w:tcPr>
            <w:tcW w:type="dxa" w:w="3969"/>
            <w:shd w:val="clear" w:color="auto" w:fill="FFFFFF"/>
            <w:vAlign w:val="center"/>
          </w:tcPr>
          <w:p>
            <w:pPr>
              <w:spacing w:before="40" w:after="40"/>
            </w:pPr>
            <w:r>
              <w:rPr>
                <w:sz w:val="18"/>
              </w:rPr>
              <w:t>Self-drive option</w:t>
            </w:r>
          </w:p>
        </w:tc>
        <w:tc>
          <w:tcPr>
            <w:tcW w:type="dxa" w:w="5102"/>
            <w:shd w:val="clear" w:color="auto" w:fill="FFFFFF"/>
            <w:vAlign w:val="center"/>
          </w:tcPr>
          <w:p>
            <w:pPr>
              <w:spacing w:before="40" w:after="40"/>
            </w:pPr>
            <w:r>
              <w:rPr>
                <w:sz w:val="18"/>
              </w:rPr>
              <w:t>Prime movers are self-propelled — can drive under own power; eliminates lowboy cost. Requires UAE and Saudi oversize convoy permits (3 m wide × 18 m long)</w:t>
            </w:r>
          </w:p>
        </w:tc>
      </w:tr>
      <w:tr>
        <w:tc>
          <w:tcPr>
            <w:tcW w:type="dxa" w:w="3969"/>
            <w:shd w:val="clear" w:color="auto" w:fill="F2F2F2"/>
            <w:vAlign w:val="center"/>
          </w:tcPr>
          <w:p>
            <w:pPr>
              <w:spacing w:before="40" w:after="40"/>
            </w:pPr>
            <w:r>
              <w:rPr>
                <w:sz w:val="18"/>
              </w:rPr>
              <w:t>Overland cost (est.)</w:t>
            </w:r>
          </w:p>
        </w:tc>
        <w:tc>
          <w:tcPr>
            <w:tcW w:type="dxa" w:w="5102"/>
            <w:shd w:val="clear" w:color="auto" w:fill="F2F2F2"/>
            <w:vAlign w:val="center"/>
          </w:tcPr>
          <w:p>
            <w:pPr>
              <w:spacing w:before="40" w:after="40"/>
            </w:pPr>
            <w:r>
              <w:rPr>
                <w:sz w:val="18"/>
              </w:rPr>
              <w:t>Self-drive: driver costs + permits ~USD 3,000–8,000 total for 8 units</w:t>
            </w:r>
          </w:p>
        </w:tc>
      </w:tr>
      <w:tr>
        <w:tc>
          <w:tcPr>
            <w:tcW w:type="dxa" w:w="3969"/>
            <w:shd w:val="clear" w:color="auto" w:fill="FFFFFF"/>
            <w:vAlign w:val="center"/>
          </w:tcPr>
          <w:p>
            <w:pPr>
              <w:spacing w:before="40" w:after="40"/>
            </w:pPr>
            <w:r>
              <w:rPr>
                <w:sz w:val="18"/>
              </w:rPr>
              <w:t>Chokepoint exposure</w:t>
            </w:r>
          </w:p>
        </w:tc>
        <w:tc>
          <w:tcPr>
            <w:tcW w:type="dxa" w:w="5102"/>
            <w:shd w:val="clear" w:color="auto" w:fill="FFFFFF"/>
            <w:vAlign w:val="center"/>
          </w:tcPr>
          <w:p>
            <w:pPr>
              <w:spacing w:before="40" w:after="40"/>
            </w:pPr>
            <w:r>
              <w:rPr>
                <w:sz w:val="18"/>
              </w:rPr>
              <w:t>NONE</w:t>
            </w:r>
          </w:p>
        </w:tc>
      </w:tr>
      <w:tr>
        <w:tc>
          <w:tcPr>
            <w:tcW w:type="dxa" w:w="3969"/>
            <w:shd w:val="clear" w:color="auto" w:fill="F2F2F2"/>
            <w:vAlign w:val="center"/>
          </w:tcPr>
          <w:p>
            <w:pPr>
              <w:spacing w:before="40" w:after="40"/>
            </w:pPr>
            <w:r>
              <w:rPr>
                <w:sz w:val="18"/>
              </w:rPr>
              <w:t>Delivery point note</w:t>
            </w:r>
          </w:p>
        </w:tc>
        <w:tc>
          <w:tcPr>
            <w:tcW w:type="dxa" w:w="5102"/>
            <w:shd w:val="clear" w:color="auto" w:fill="F2F2F2"/>
            <w:vAlign w:val="center"/>
          </w:tcPr>
          <w:p>
            <w:pPr>
              <w:spacing w:before="40" w:after="40"/>
            </w:pPr>
            <w:r>
              <w:rPr>
                <w:sz w:val="18"/>
              </w:rPr>
              <w:t>Delivers to Dammam. If final buyer is in Jeddah, domestic Saudi leg (~1,200 km Dammam → Jeddah) is required — typically buyer's responsibility depending on Incoterms.</w:t>
            </w:r>
          </w:p>
        </w:tc>
      </w:tr>
    </w:tbl>
    <w:p/>
    <w:p>
      <w:pPr>
        <w:spacing w:before="240" w:after="40"/>
      </w:pPr>
      <w:r>
        <w:rPr>
          <w:b/>
          <w:color w:val="1A2B3C"/>
          <w:sz w:val="22"/>
        </w:rPr>
        <w:t>2.3  Scenario C — Melbourne → Khorfakkan (UAE) → Overland to Jeddah</w:t>
      </w:r>
    </w:p>
    <w:p>
      <w:pPr>
        <w:spacing w:before="40" w:after="80"/>
      </w:pPr>
      <w:r>
        <w:rPr>
          <w:b w:val="0"/>
          <w:i w:val="0"/>
          <w:sz w:val="20"/>
        </w:rPr>
        <w:t>Route: Melbourne → Singapore or Port Klang (transhipment) → Indian Ocean → Khorfakkan → road approximately 2,000–2,200 km → Jeddah.</w:t>
      </w:r>
    </w:p>
    <w:p>
      <w:pPr>
        <w:spacing w:before="40" w:after="80"/>
      </w:pPr>
      <w:r>
        <w:rPr>
          <w:b w:val="0"/>
          <w:i w:val="0"/>
          <w:sz w:val="20"/>
        </w:rPr>
        <w:t>This scenario uses the same sea leg as Scenario B but extends the overland leg directly to Jeddah, bypassing Dammam. This is relevant because the buyer is confirmed in Jeddah — delivering direct to Jeddah avoids the need for the buyer to arrange a domestic Saudi haulage leg from Dammam.</w:t>
      </w:r>
    </w:p>
    <w:p>
      <w:pPr>
        <w:spacing w:before="40" w:after="80"/>
      </w:pPr>
      <w:r>
        <w:rPr>
          <w:b w:val="0"/>
          <w:i w:val="0"/>
          <w:sz w:val="20"/>
        </w:rPr>
        <w:t>The prime movers are self-propelled and can drive under their own power on this route. Oversize convoy permits for 3 m wide × 18 m long vehicles are required in both UAE and Saudi Arabia.</w:t>
      </w:r>
    </w:p>
    <w:tbl>
      <w:tblPr>
        <w:tblStyle w:val="TableGrid"/>
        <w:tblW w:type="auto" w:w="0"/>
        <w:jc w:val="left"/>
        <w:tblLook w:firstColumn="1" w:firstRow="1" w:lastColumn="0" w:lastRow="0" w:noHBand="0" w:noVBand="1" w:val="04A0"/>
      </w:tblPr>
      <w:tblGrid>
        <w:gridCol w:w="4703"/>
        <w:gridCol w:w="4703"/>
      </w:tblGrid>
      <w:tr>
        <w:tc>
          <w:tcPr>
            <w:tcW w:type="dxa" w:w="3969"/>
            <w:shd w:val="clear" w:color="auto" w:fill="1F497D"/>
            <w:vAlign w:val="center"/>
          </w:tcPr>
          <w:p>
            <w:pPr>
              <w:spacing w:before="40" w:after="40"/>
            </w:pPr>
            <w:r>
              <w:rPr>
                <w:b/>
                <w:color w:val="FFFFFF"/>
                <w:sz w:val="18"/>
              </w:rPr>
              <w:t>Parameter</w:t>
            </w:r>
          </w:p>
        </w:tc>
        <w:tc>
          <w:tcPr>
            <w:tcW w:type="dxa" w:w="5102"/>
            <w:shd w:val="clear" w:color="auto" w:fill="1F497D"/>
            <w:vAlign w:val="center"/>
          </w:tcPr>
          <w:p>
            <w:pPr>
              <w:spacing w:before="40" w:after="40"/>
            </w:pPr>
            <w:r>
              <w:rPr>
                <w:b/>
                <w:color w:val="FFFFFF"/>
                <w:sz w:val="18"/>
              </w:rPr>
              <w:t>Detail</w:t>
            </w:r>
          </w:p>
        </w:tc>
      </w:tr>
      <w:tr>
        <w:tc>
          <w:tcPr>
            <w:tcW w:type="dxa" w:w="3969"/>
            <w:shd w:val="clear" w:color="auto" w:fill="FFFFFF"/>
            <w:vAlign w:val="center"/>
          </w:tcPr>
          <w:p>
            <w:pPr>
              <w:spacing w:before="40" w:after="40"/>
            </w:pPr>
            <w:r>
              <w:rPr>
                <w:sz w:val="18"/>
              </w:rPr>
              <w:t>Sea transit to Khorfakkan</w:t>
            </w:r>
          </w:p>
        </w:tc>
        <w:tc>
          <w:tcPr>
            <w:tcW w:type="dxa" w:w="5102"/>
            <w:shd w:val="clear" w:color="auto" w:fill="FFFFFF"/>
            <w:vAlign w:val="center"/>
          </w:tcPr>
          <w:p>
            <w:pPr>
              <w:spacing w:before="40" w:after="40"/>
            </w:pPr>
            <w:r>
              <w:rPr>
                <w:sz w:val="18"/>
              </w:rPr>
              <w:t>32–40 days (same as Scenario B)</w:t>
            </w:r>
          </w:p>
        </w:tc>
      </w:tr>
      <w:tr>
        <w:tc>
          <w:tcPr>
            <w:tcW w:type="dxa" w:w="3969"/>
            <w:shd w:val="clear" w:color="auto" w:fill="F2F2F2"/>
            <w:vAlign w:val="center"/>
          </w:tcPr>
          <w:p>
            <w:pPr>
              <w:spacing w:before="40" w:after="40"/>
            </w:pPr>
            <w:r>
              <w:rPr>
                <w:sz w:val="18"/>
              </w:rPr>
              <w:t>Khorfakkan port wait (current)</w:t>
            </w:r>
          </w:p>
        </w:tc>
        <w:tc>
          <w:tcPr>
            <w:tcW w:type="dxa" w:w="5102"/>
            <w:shd w:val="clear" w:color="auto" w:fill="F2F2F2"/>
            <w:vAlign w:val="center"/>
          </w:tcPr>
          <w:p>
            <w:pPr>
              <w:spacing w:before="40" w:after="40"/>
            </w:pPr>
            <w:r>
              <w:rPr>
                <w:sz w:val="18"/>
              </w:rPr>
              <w:t>~4 weeks minimum (same constraint as Scenario B)</w:t>
            </w:r>
          </w:p>
        </w:tc>
      </w:tr>
      <w:tr>
        <w:tc>
          <w:tcPr>
            <w:tcW w:type="dxa" w:w="3969"/>
            <w:shd w:val="clear" w:color="auto" w:fill="FFFFFF"/>
            <w:vAlign w:val="center"/>
          </w:tcPr>
          <w:p>
            <w:pPr>
              <w:spacing w:before="40" w:after="40"/>
            </w:pPr>
            <w:r>
              <w:rPr>
                <w:sz w:val="18"/>
              </w:rPr>
              <w:t>Overland leg</w:t>
            </w:r>
          </w:p>
        </w:tc>
        <w:tc>
          <w:tcPr>
            <w:tcW w:type="dxa" w:w="5102"/>
            <w:shd w:val="clear" w:color="auto" w:fill="FFFFFF"/>
            <w:vAlign w:val="center"/>
          </w:tcPr>
          <w:p>
            <w:pPr>
              <w:spacing w:before="40" w:after="40"/>
            </w:pPr>
            <w:r>
              <w:rPr>
                <w:sz w:val="18"/>
              </w:rPr>
              <w:t>Khorfakkan → Jeddah ~2,000–2,200 km via UAE interior → Saudi border (Ghuwaifat/Al Batha) → Riyadh → Jeddah. Estimated 4–6 days road transit including customs.</w:t>
            </w:r>
          </w:p>
        </w:tc>
      </w:tr>
      <w:tr>
        <w:tc>
          <w:tcPr>
            <w:tcW w:type="dxa" w:w="3969"/>
            <w:shd w:val="clear" w:color="auto" w:fill="F2F2F2"/>
            <w:vAlign w:val="center"/>
          </w:tcPr>
          <w:p>
            <w:pPr>
              <w:spacing w:before="40" w:after="40"/>
            </w:pPr>
            <w:r>
              <w:rPr>
                <w:sz w:val="18"/>
              </w:rPr>
              <w:t>Total elapsed time</w:t>
            </w:r>
          </w:p>
        </w:tc>
        <w:tc>
          <w:tcPr>
            <w:tcW w:type="dxa" w:w="5102"/>
            <w:shd w:val="clear" w:color="auto" w:fill="F2F2F2"/>
            <w:vAlign w:val="center"/>
          </w:tcPr>
          <w:p>
            <w:pPr>
              <w:spacing w:before="40" w:after="40"/>
            </w:pPr>
            <w:r>
              <w:rPr>
                <w:sz w:val="18"/>
              </w:rPr>
              <w:t>70–95 days Melbourne to Jeddah</w:t>
            </w:r>
          </w:p>
        </w:tc>
      </w:tr>
      <w:tr>
        <w:tc>
          <w:tcPr>
            <w:tcW w:type="dxa" w:w="3969"/>
            <w:shd w:val="clear" w:color="auto" w:fill="FFFFFF"/>
            <w:vAlign w:val="center"/>
          </w:tcPr>
          <w:p>
            <w:pPr>
              <w:spacing w:before="40" w:after="40"/>
            </w:pPr>
            <w:r>
              <w:rPr>
                <w:sz w:val="18"/>
              </w:rPr>
              <w:t>Self-drive option</w:t>
            </w:r>
          </w:p>
        </w:tc>
        <w:tc>
          <w:tcPr>
            <w:tcW w:type="dxa" w:w="5102"/>
            <w:shd w:val="clear" w:color="auto" w:fill="FFFFFF"/>
            <w:vAlign w:val="center"/>
          </w:tcPr>
          <w:p>
            <w:pPr>
              <w:spacing w:before="40" w:after="40"/>
            </w:pPr>
            <w:r>
              <w:rPr>
                <w:sz w:val="18"/>
              </w:rPr>
              <w:t>Yes — prime movers self-propelled. Substantially reduces overland cost.</w:t>
            </w:r>
          </w:p>
        </w:tc>
      </w:tr>
      <w:tr>
        <w:tc>
          <w:tcPr>
            <w:tcW w:type="dxa" w:w="3969"/>
            <w:shd w:val="clear" w:color="auto" w:fill="F2F2F2"/>
            <w:vAlign w:val="center"/>
          </w:tcPr>
          <w:p>
            <w:pPr>
              <w:spacing w:before="40" w:after="40"/>
            </w:pPr>
            <w:r>
              <w:rPr>
                <w:sz w:val="18"/>
              </w:rPr>
              <w:t>Overland cost (est.)</w:t>
            </w:r>
          </w:p>
        </w:tc>
        <w:tc>
          <w:tcPr>
            <w:tcW w:type="dxa" w:w="5102"/>
            <w:shd w:val="clear" w:color="auto" w:fill="F2F2F2"/>
            <w:vAlign w:val="center"/>
          </w:tcPr>
          <w:p>
            <w:pPr>
              <w:spacing w:before="40" w:after="40"/>
            </w:pPr>
            <w:r>
              <w:rPr>
                <w:sz w:val="18"/>
              </w:rPr>
              <w:t>Self-drive: driver costs + permits ~USD 6,000–15,000 total for 8 units (longer leg)</w:t>
            </w:r>
          </w:p>
        </w:tc>
      </w:tr>
      <w:tr>
        <w:tc>
          <w:tcPr>
            <w:tcW w:type="dxa" w:w="3969"/>
            <w:shd w:val="clear" w:color="auto" w:fill="FFFFFF"/>
            <w:vAlign w:val="center"/>
          </w:tcPr>
          <w:p>
            <w:pPr>
              <w:spacing w:before="40" w:after="40"/>
            </w:pPr>
            <w:r>
              <w:rPr>
                <w:sz w:val="18"/>
              </w:rPr>
              <w:t>Chokepoint exposure</w:t>
            </w:r>
          </w:p>
        </w:tc>
        <w:tc>
          <w:tcPr>
            <w:tcW w:type="dxa" w:w="5102"/>
            <w:shd w:val="clear" w:color="auto" w:fill="FFFFFF"/>
            <w:vAlign w:val="center"/>
          </w:tcPr>
          <w:p>
            <w:pPr>
              <w:spacing w:before="40" w:after="40"/>
            </w:pPr>
            <w:r>
              <w:rPr>
                <w:sz w:val="18"/>
              </w:rPr>
              <w:t>NONE</w:t>
            </w:r>
          </w:p>
        </w:tc>
      </w:tr>
      <w:tr>
        <w:tc>
          <w:tcPr>
            <w:tcW w:type="dxa" w:w="3969"/>
            <w:shd w:val="clear" w:color="auto" w:fill="F2F2F2"/>
            <w:vAlign w:val="center"/>
          </w:tcPr>
          <w:p>
            <w:pPr>
              <w:spacing w:before="40" w:after="40"/>
            </w:pPr>
            <w:r>
              <w:rPr>
                <w:sz w:val="18"/>
              </w:rPr>
              <w:t>Delivery point</w:t>
            </w:r>
          </w:p>
        </w:tc>
        <w:tc>
          <w:tcPr>
            <w:tcW w:type="dxa" w:w="5102"/>
            <w:shd w:val="clear" w:color="auto" w:fill="F2F2F2"/>
            <w:vAlign w:val="center"/>
          </w:tcPr>
          <w:p>
            <w:pPr>
              <w:spacing w:before="40" w:after="40"/>
            </w:pPr>
            <w:r>
              <w:rPr>
                <w:sz w:val="18"/>
              </w:rPr>
              <w:t>Jeddah — direct delivery to buyer's location without additional Saudi domestic leg.</w:t>
            </w:r>
          </w:p>
        </w:tc>
      </w:tr>
    </w:tbl>
    <w:p/>
    <w:p>
      <w:r>
        <w:br w:type="page"/>
      </w:r>
    </w:p>
    <w:p>
      <w:pPr>
        <w:spacing w:before="360" w:after="80"/>
        <w:pBdr>
          <w:bottom w:val="single" w:sz="6" w:space="1" w:color="1F497D"/>
        </w:pBdr>
      </w:pPr>
      <w:r>
        <w:rPr>
          <w:b/>
          <w:color w:val="1F497D"/>
          <w:sz w:val="26"/>
        </w:rPr>
        <w:t>PART 3 — SCENARIO COMPARISON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1F497D"/>
            <w:vAlign w:val="center"/>
          </w:tcPr>
          <w:p>
            <w:pPr>
              <w:spacing w:before="40" w:after="40"/>
            </w:pPr>
            <w:r>
              <w:rPr>
                <w:b/>
                <w:color w:val="FFFFFF"/>
                <w:sz w:val="18"/>
              </w:rPr>
              <w:t>Element</w:t>
            </w:r>
          </w:p>
        </w:tc>
        <w:tc>
          <w:tcPr>
            <w:tcW w:type="dxa" w:w="2268"/>
            <w:shd w:val="clear" w:color="auto" w:fill="1F497D"/>
            <w:vAlign w:val="center"/>
          </w:tcPr>
          <w:p>
            <w:pPr>
              <w:spacing w:before="40" w:after="40"/>
            </w:pPr>
            <w:r>
              <w:rPr>
                <w:b/>
                <w:color w:val="FFFFFF"/>
                <w:sz w:val="18"/>
              </w:rPr>
              <w:t>Scenario A</w:t>
              <w:br/>
              <w:t>Jeddah via Red Sea</w:t>
            </w:r>
          </w:p>
        </w:tc>
        <w:tc>
          <w:tcPr>
            <w:tcW w:type="dxa" w:w="2551"/>
            <w:shd w:val="clear" w:color="auto" w:fill="1F497D"/>
            <w:vAlign w:val="center"/>
          </w:tcPr>
          <w:p>
            <w:pPr>
              <w:spacing w:before="40" w:after="40"/>
            </w:pPr>
            <w:r>
              <w:rPr>
                <w:b/>
                <w:color w:val="FFFFFF"/>
                <w:sz w:val="18"/>
              </w:rPr>
              <w:t>Scenario B</w:t>
              <w:br/>
              <w:t>Khorfakkan → Dammam</w:t>
            </w:r>
          </w:p>
        </w:tc>
        <w:tc>
          <w:tcPr>
            <w:tcW w:type="dxa" w:w="2551"/>
            <w:shd w:val="clear" w:color="auto" w:fill="1F497D"/>
            <w:vAlign w:val="center"/>
          </w:tcPr>
          <w:p>
            <w:pPr>
              <w:spacing w:before="40" w:after="40"/>
            </w:pPr>
            <w:r>
              <w:rPr>
                <w:b/>
                <w:color w:val="FFFFFF"/>
                <w:sz w:val="18"/>
              </w:rPr>
              <w:t>Scenario C</w:t>
              <w:br/>
              <w:t>Khorfakkan → Jeddah (road)</w:t>
            </w:r>
          </w:p>
        </w:tc>
      </w:tr>
      <w:tr>
        <w:tc>
          <w:tcPr>
            <w:tcW w:type="dxa" w:w="2268"/>
            <w:shd w:val="clear" w:color="auto" w:fill="FFFFFF"/>
            <w:vAlign w:val="center"/>
          </w:tcPr>
          <w:p>
            <w:pPr>
              <w:spacing w:before="40" w:after="40"/>
            </w:pPr>
            <w:r>
              <w:rPr>
                <w:sz w:val="18"/>
              </w:rPr>
              <w:t>Discharge port</w:t>
            </w:r>
          </w:p>
        </w:tc>
        <w:tc>
          <w:tcPr>
            <w:tcW w:type="dxa" w:w="2268"/>
            <w:shd w:val="clear" w:color="auto" w:fill="FFFFFF"/>
            <w:vAlign w:val="center"/>
          </w:tcPr>
          <w:p>
            <w:pPr>
              <w:spacing w:before="40" w:after="40"/>
            </w:pPr>
            <w:r>
              <w:rPr>
                <w:sz w:val="18"/>
              </w:rPr>
              <w:t>Jeddah Islamic Port</w:t>
            </w:r>
          </w:p>
        </w:tc>
        <w:tc>
          <w:tcPr>
            <w:tcW w:type="dxa" w:w="2551"/>
            <w:shd w:val="clear" w:color="auto" w:fill="FFFFFF"/>
            <w:vAlign w:val="center"/>
          </w:tcPr>
          <w:p>
            <w:pPr>
              <w:spacing w:before="40" w:after="40"/>
            </w:pPr>
            <w:r>
              <w:rPr>
                <w:sz w:val="18"/>
              </w:rPr>
              <w:t>Dammam / King Abdulaziz Port</w:t>
            </w:r>
          </w:p>
        </w:tc>
        <w:tc>
          <w:tcPr>
            <w:tcW w:type="dxa" w:w="2551"/>
            <w:shd w:val="clear" w:color="auto" w:fill="FFFFFF"/>
            <w:vAlign w:val="center"/>
          </w:tcPr>
          <w:p>
            <w:pPr>
              <w:spacing w:before="40" w:after="40"/>
            </w:pPr>
            <w:r>
              <w:rPr>
                <w:sz w:val="18"/>
              </w:rPr>
              <w:t>Khorfakkan (UAE), then road</w:t>
            </w:r>
          </w:p>
        </w:tc>
      </w:tr>
      <w:tr>
        <w:tc>
          <w:tcPr>
            <w:tcW w:type="dxa" w:w="2268"/>
            <w:shd w:val="clear" w:color="auto" w:fill="F2F2F2"/>
            <w:vAlign w:val="center"/>
          </w:tcPr>
          <w:p>
            <w:pPr>
              <w:spacing w:before="40" w:after="40"/>
            </w:pPr>
            <w:r>
              <w:rPr>
                <w:sz w:val="18"/>
              </w:rPr>
              <w:t>Chokepoint exposure</w:t>
            </w:r>
          </w:p>
        </w:tc>
        <w:tc>
          <w:tcPr>
            <w:tcW w:type="dxa" w:w="2268"/>
            <w:shd w:val="clear" w:color="auto" w:fill="F2F2F2"/>
            <w:vAlign w:val="center"/>
          </w:tcPr>
          <w:p>
            <w:pPr>
              <w:spacing w:before="40" w:after="40"/>
            </w:pPr>
            <w:r>
              <w:rPr>
                <w:sz w:val="18"/>
              </w:rPr>
              <w:t>Bab el-Mandeb ACTIVE EMBARGO</w:t>
            </w:r>
          </w:p>
        </w:tc>
        <w:tc>
          <w:tcPr>
            <w:tcW w:type="dxa" w:w="2551"/>
            <w:shd w:val="clear" w:color="auto" w:fill="F2F2F2"/>
            <w:vAlign w:val="center"/>
          </w:tcPr>
          <w:p>
            <w:pPr>
              <w:spacing w:before="40" w:after="40"/>
            </w:pPr>
            <w:r>
              <w:rPr>
                <w:sz w:val="18"/>
              </w:rPr>
              <w:t>NONE</w:t>
            </w:r>
          </w:p>
        </w:tc>
        <w:tc>
          <w:tcPr>
            <w:tcW w:type="dxa" w:w="2551"/>
            <w:shd w:val="clear" w:color="auto" w:fill="F2F2F2"/>
            <w:vAlign w:val="center"/>
          </w:tcPr>
          <w:p>
            <w:pPr>
              <w:spacing w:before="40" w:after="40"/>
            </w:pPr>
            <w:r>
              <w:rPr>
                <w:sz w:val="18"/>
              </w:rPr>
              <w:t>NONE</w:t>
            </w:r>
          </w:p>
        </w:tc>
      </w:tr>
      <w:tr>
        <w:tc>
          <w:tcPr>
            <w:tcW w:type="dxa" w:w="2268"/>
            <w:shd w:val="clear" w:color="auto" w:fill="FFFFFF"/>
            <w:vAlign w:val="center"/>
          </w:tcPr>
          <w:p>
            <w:pPr>
              <w:spacing w:before="40" w:after="40"/>
            </w:pPr>
            <w:r>
              <w:rPr>
                <w:sz w:val="18"/>
              </w:rPr>
              <w:t>Sea transit</w:t>
            </w:r>
          </w:p>
        </w:tc>
        <w:tc>
          <w:tcPr>
            <w:tcW w:type="dxa" w:w="2268"/>
            <w:shd w:val="clear" w:color="auto" w:fill="FFFFFF"/>
            <w:vAlign w:val="center"/>
          </w:tcPr>
          <w:p>
            <w:pPr>
              <w:spacing w:before="40" w:after="40"/>
            </w:pPr>
            <w:r>
              <w:rPr>
                <w:sz w:val="18"/>
              </w:rPr>
              <w:t>35–60 days</w:t>
            </w:r>
          </w:p>
        </w:tc>
        <w:tc>
          <w:tcPr>
            <w:tcW w:type="dxa" w:w="2551"/>
            <w:shd w:val="clear" w:color="auto" w:fill="FFFFFF"/>
            <w:vAlign w:val="center"/>
          </w:tcPr>
          <w:p>
            <w:pPr>
              <w:spacing w:before="40" w:after="40"/>
            </w:pPr>
            <w:r>
              <w:rPr>
                <w:sz w:val="18"/>
              </w:rPr>
              <w:t>32–40 days to Khorfakkan</w:t>
            </w:r>
          </w:p>
        </w:tc>
        <w:tc>
          <w:tcPr>
            <w:tcW w:type="dxa" w:w="2551"/>
            <w:shd w:val="clear" w:color="auto" w:fill="FFFFFF"/>
            <w:vAlign w:val="center"/>
          </w:tcPr>
          <w:p>
            <w:pPr>
              <w:spacing w:before="40" w:after="40"/>
            </w:pPr>
            <w:r>
              <w:rPr>
                <w:sz w:val="18"/>
              </w:rPr>
              <w:t>32–40 days to Khorfakkan</w:t>
            </w:r>
          </w:p>
        </w:tc>
      </w:tr>
      <w:tr>
        <w:tc>
          <w:tcPr>
            <w:tcW w:type="dxa" w:w="2268"/>
            <w:shd w:val="clear" w:color="auto" w:fill="F2F2F2"/>
            <w:vAlign w:val="center"/>
          </w:tcPr>
          <w:p>
            <w:pPr>
              <w:spacing w:before="40" w:after="40"/>
            </w:pPr>
            <w:r>
              <w:rPr>
                <w:sz w:val="18"/>
              </w:rPr>
              <w:t>Port wait</w:t>
            </w:r>
          </w:p>
        </w:tc>
        <w:tc>
          <w:tcPr>
            <w:tcW w:type="dxa" w:w="2268"/>
            <w:shd w:val="clear" w:color="auto" w:fill="F2F2F2"/>
            <w:vAlign w:val="center"/>
          </w:tcPr>
          <w:p>
            <w:pPr>
              <w:spacing w:before="40" w:after="40"/>
            </w:pPr>
            <w:r>
              <w:rPr>
                <w:sz w:val="18"/>
              </w:rPr>
              <w:t>N/A</w:t>
            </w:r>
          </w:p>
        </w:tc>
        <w:tc>
          <w:tcPr>
            <w:tcW w:type="dxa" w:w="2551"/>
            <w:shd w:val="clear" w:color="auto" w:fill="F2F2F2"/>
            <w:vAlign w:val="center"/>
          </w:tcPr>
          <w:p>
            <w:pPr>
              <w:spacing w:before="40" w:after="40"/>
            </w:pPr>
            <w:r>
              <w:rPr>
                <w:sz w:val="18"/>
              </w:rPr>
              <w:t>~4 weeks (Khorfakkan)</w:t>
            </w:r>
          </w:p>
        </w:tc>
        <w:tc>
          <w:tcPr>
            <w:tcW w:type="dxa" w:w="2551"/>
            <w:shd w:val="clear" w:color="auto" w:fill="F2F2F2"/>
            <w:vAlign w:val="center"/>
          </w:tcPr>
          <w:p>
            <w:pPr>
              <w:spacing w:before="40" w:after="40"/>
            </w:pPr>
            <w:r>
              <w:rPr>
                <w:sz w:val="18"/>
              </w:rPr>
              <w:t>~4 weeks (Khorfakkan)</w:t>
            </w:r>
          </w:p>
        </w:tc>
      </w:tr>
      <w:tr>
        <w:tc>
          <w:tcPr>
            <w:tcW w:type="dxa" w:w="2268"/>
            <w:shd w:val="clear" w:color="auto" w:fill="FFFFFF"/>
            <w:vAlign w:val="center"/>
          </w:tcPr>
          <w:p>
            <w:pPr>
              <w:spacing w:before="40" w:after="40"/>
            </w:pPr>
            <w:r>
              <w:rPr>
                <w:sz w:val="18"/>
              </w:rPr>
              <w:t>Overland</w:t>
            </w:r>
          </w:p>
        </w:tc>
        <w:tc>
          <w:tcPr>
            <w:tcW w:type="dxa" w:w="2268"/>
            <w:shd w:val="clear" w:color="auto" w:fill="FFFFFF"/>
            <w:vAlign w:val="center"/>
          </w:tcPr>
          <w:p>
            <w:pPr>
              <w:spacing w:before="40" w:after="40"/>
            </w:pPr>
            <w:r>
              <w:rPr>
                <w:sz w:val="18"/>
              </w:rPr>
              <w:t>None</w:t>
            </w:r>
          </w:p>
        </w:tc>
        <w:tc>
          <w:tcPr>
            <w:tcW w:type="dxa" w:w="2551"/>
            <w:shd w:val="clear" w:color="auto" w:fill="FFFFFF"/>
            <w:vAlign w:val="center"/>
          </w:tcPr>
          <w:p>
            <w:pPr>
              <w:spacing w:before="40" w:after="40"/>
            </w:pPr>
            <w:r>
              <w:rPr>
                <w:sz w:val="18"/>
              </w:rPr>
              <w:t>~700–800 km; 2–4 days</w:t>
            </w:r>
          </w:p>
        </w:tc>
        <w:tc>
          <w:tcPr>
            <w:tcW w:type="dxa" w:w="2551"/>
            <w:shd w:val="clear" w:color="auto" w:fill="FFFFFF"/>
            <w:vAlign w:val="center"/>
          </w:tcPr>
          <w:p>
            <w:pPr>
              <w:spacing w:before="40" w:after="40"/>
            </w:pPr>
            <w:r>
              <w:rPr>
                <w:sz w:val="18"/>
              </w:rPr>
              <w:t>~2,000–2,200 km; 4–6 days</w:t>
            </w:r>
          </w:p>
        </w:tc>
      </w:tr>
      <w:tr>
        <w:tc>
          <w:tcPr>
            <w:tcW w:type="dxa" w:w="2268"/>
            <w:shd w:val="clear" w:color="auto" w:fill="F2F2F2"/>
            <w:vAlign w:val="center"/>
          </w:tcPr>
          <w:p>
            <w:pPr>
              <w:spacing w:before="40" w:after="40"/>
            </w:pPr>
            <w:r>
              <w:rPr>
                <w:sz w:val="18"/>
              </w:rPr>
              <w:t>Total elapsed</w:t>
            </w:r>
          </w:p>
        </w:tc>
        <w:tc>
          <w:tcPr>
            <w:tcW w:type="dxa" w:w="2268"/>
            <w:shd w:val="clear" w:color="auto" w:fill="F2F2F2"/>
            <w:vAlign w:val="center"/>
          </w:tcPr>
          <w:p>
            <w:pPr>
              <w:spacing w:before="40" w:after="40"/>
            </w:pPr>
            <w:r>
              <w:rPr>
                <w:sz w:val="18"/>
              </w:rPr>
              <w:t>45–70 days</w:t>
            </w:r>
          </w:p>
        </w:tc>
        <w:tc>
          <w:tcPr>
            <w:tcW w:type="dxa" w:w="2551"/>
            <w:shd w:val="clear" w:color="auto" w:fill="F2F2F2"/>
            <w:vAlign w:val="center"/>
          </w:tcPr>
          <w:p>
            <w:pPr>
              <w:spacing w:before="40" w:after="40"/>
            </w:pPr>
            <w:r>
              <w:rPr>
                <w:sz w:val="18"/>
              </w:rPr>
              <w:t>65–90 days</w:t>
            </w:r>
          </w:p>
        </w:tc>
        <w:tc>
          <w:tcPr>
            <w:tcW w:type="dxa" w:w="2551"/>
            <w:shd w:val="clear" w:color="auto" w:fill="F2F2F2"/>
            <w:vAlign w:val="center"/>
          </w:tcPr>
          <w:p>
            <w:pPr>
              <w:spacing w:before="40" w:after="40"/>
            </w:pPr>
            <w:r>
              <w:rPr>
                <w:sz w:val="18"/>
              </w:rPr>
              <w:t>70–95 days</w:t>
            </w:r>
          </w:p>
        </w:tc>
      </w:tr>
      <w:tr>
        <w:tc>
          <w:tcPr>
            <w:tcW w:type="dxa" w:w="2268"/>
            <w:shd w:val="clear" w:color="auto" w:fill="FFFFFF"/>
            <w:vAlign w:val="center"/>
          </w:tcPr>
          <w:p>
            <w:pPr>
              <w:spacing w:before="40" w:after="40"/>
            </w:pPr>
            <w:r>
              <w:rPr>
                <w:sz w:val="18"/>
              </w:rPr>
              <w:t>Ocean freight base (144 LM)</w:t>
            </w:r>
          </w:p>
        </w:tc>
        <w:tc>
          <w:tcPr>
            <w:tcW w:type="dxa" w:w="2268"/>
            <w:shd w:val="clear" w:color="auto" w:fill="FFFFFF"/>
            <w:vAlign w:val="center"/>
          </w:tcPr>
          <w:p>
            <w:pPr>
              <w:spacing w:before="40" w:after="40"/>
            </w:pPr>
            <w:r>
              <w:rPr>
                <w:sz w:val="18"/>
              </w:rPr>
              <w:t>USD 29k–65k</w:t>
            </w:r>
          </w:p>
        </w:tc>
        <w:tc>
          <w:tcPr>
            <w:tcW w:type="dxa" w:w="2551"/>
            <w:shd w:val="clear" w:color="auto" w:fill="FFFFFF"/>
            <w:vAlign w:val="center"/>
          </w:tcPr>
          <w:p>
            <w:pPr>
              <w:spacing w:before="40" w:after="40"/>
            </w:pPr>
            <w:r>
              <w:rPr>
                <w:sz w:val="18"/>
              </w:rPr>
              <w:t>USD 29k–65k</w:t>
            </w:r>
          </w:p>
        </w:tc>
        <w:tc>
          <w:tcPr>
            <w:tcW w:type="dxa" w:w="2551"/>
            <w:shd w:val="clear" w:color="auto" w:fill="FFFFFF"/>
            <w:vAlign w:val="center"/>
          </w:tcPr>
          <w:p>
            <w:pPr>
              <w:spacing w:before="40" w:after="40"/>
            </w:pPr>
            <w:r>
              <w:rPr>
                <w:sz w:val="18"/>
              </w:rPr>
              <w:t>USD 29k–65k</w:t>
            </w:r>
          </w:p>
        </w:tc>
      </w:tr>
      <w:tr>
        <w:tc>
          <w:tcPr>
            <w:tcW w:type="dxa" w:w="2268"/>
            <w:shd w:val="clear" w:color="auto" w:fill="F2F2F2"/>
            <w:vAlign w:val="center"/>
          </w:tcPr>
          <w:p>
            <w:pPr>
              <w:spacing w:before="40" w:after="40"/>
            </w:pPr>
            <w:r>
              <w:rPr>
                <w:sz w:val="18"/>
              </w:rPr>
              <w:t>War risk surcharge</w:t>
            </w:r>
          </w:p>
        </w:tc>
        <w:tc>
          <w:tcPr>
            <w:tcW w:type="dxa" w:w="2268"/>
            <w:shd w:val="clear" w:color="auto" w:fill="F2F2F2"/>
            <w:vAlign w:val="center"/>
          </w:tcPr>
          <w:p>
            <w:pPr>
              <w:spacing w:before="40" w:after="40"/>
            </w:pPr>
            <w:r>
              <w:rPr>
                <w:sz w:val="18"/>
              </w:rPr>
              <w:t>USD 8k–50k+ (active)</w:t>
            </w:r>
          </w:p>
        </w:tc>
        <w:tc>
          <w:tcPr>
            <w:tcW w:type="dxa" w:w="2551"/>
            <w:shd w:val="clear" w:color="auto" w:fill="F2F2F2"/>
            <w:vAlign w:val="center"/>
          </w:tcPr>
          <w:p>
            <w:pPr>
              <w:spacing w:before="40" w:after="40"/>
            </w:pPr>
            <w:r>
              <w:rPr>
                <w:sz w:val="18"/>
              </w:rPr>
              <w:t>NONE</w:t>
            </w:r>
          </w:p>
        </w:tc>
        <w:tc>
          <w:tcPr>
            <w:tcW w:type="dxa" w:w="2551"/>
            <w:shd w:val="clear" w:color="auto" w:fill="F2F2F2"/>
            <w:vAlign w:val="center"/>
          </w:tcPr>
          <w:p>
            <w:pPr>
              <w:spacing w:before="40" w:after="40"/>
            </w:pPr>
            <w:r>
              <w:rPr>
                <w:sz w:val="18"/>
              </w:rPr>
              <w:t>NONE</w:t>
            </w:r>
          </w:p>
        </w:tc>
      </w:tr>
      <w:tr>
        <w:tc>
          <w:tcPr>
            <w:tcW w:type="dxa" w:w="2268"/>
            <w:shd w:val="clear" w:color="auto" w:fill="FFFFFF"/>
            <w:vAlign w:val="center"/>
          </w:tcPr>
          <w:p>
            <w:pPr>
              <w:spacing w:before="40" w:after="40"/>
            </w:pPr>
            <w:r>
              <w:rPr>
                <w:sz w:val="18"/>
              </w:rPr>
              <w:t>Overland cost (est.)</w:t>
            </w:r>
          </w:p>
        </w:tc>
        <w:tc>
          <w:tcPr>
            <w:tcW w:type="dxa" w:w="2268"/>
            <w:shd w:val="clear" w:color="auto" w:fill="FFFFFF"/>
            <w:vAlign w:val="center"/>
          </w:tcPr>
          <w:p>
            <w:pPr>
              <w:spacing w:before="40" w:after="40"/>
            </w:pPr>
            <w:r>
              <w:rPr>
                <w:sz w:val="18"/>
              </w:rPr>
              <w:t>Nil</w:t>
            </w:r>
          </w:p>
        </w:tc>
        <w:tc>
          <w:tcPr>
            <w:tcW w:type="dxa" w:w="2551"/>
            <w:shd w:val="clear" w:color="auto" w:fill="FFFFFF"/>
            <w:vAlign w:val="center"/>
          </w:tcPr>
          <w:p>
            <w:pPr>
              <w:spacing w:before="40" w:after="40"/>
            </w:pPr>
            <w:r>
              <w:rPr>
                <w:sz w:val="18"/>
              </w:rPr>
              <w:t>USD 3k–8k (self-drive)</w:t>
            </w:r>
          </w:p>
        </w:tc>
        <w:tc>
          <w:tcPr>
            <w:tcW w:type="dxa" w:w="2551"/>
            <w:shd w:val="clear" w:color="auto" w:fill="FFFFFF"/>
            <w:vAlign w:val="center"/>
          </w:tcPr>
          <w:p>
            <w:pPr>
              <w:spacing w:before="40" w:after="40"/>
            </w:pPr>
            <w:r>
              <w:rPr>
                <w:sz w:val="18"/>
              </w:rPr>
              <w:t>USD 6k–15k (self-drive)</w:t>
            </w:r>
          </w:p>
        </w:tc>
      </w:tr>
      <w:tr>
        <w:tc>
          <w:tcPr>
            <w:tcW w:type="dxa" w:w="2268"/>
            <w:shd w:val="clear" w:color="auto" w:fill="F2F2F2"/>
            <w:vAlign w:val="center"/>
          </w:tcPr>
          <w:p>
            <w:pPr>
              <w:spacing w:before="40" w:after="40"/>
            </w:pPr>
            <w:r>
              <w:rPr>
                <w:sz w:val="18"/>
              </w:rPr>
              <w:t>Delivers to Jeddah directly</w:t>
            </w:r>
          </w:p>
        </w:tc>
        <w:tc>
          <w:tcPr>
            <w:tcW w:type="dxa" w:w="2268"/>
            <w:shd w:val="clear" w:color="auto" w:fill="F2F2F2"/>
            <w:vAlign w:val="center"/>
          </w:tcPr>
          <w:p>
            <w:pPr>
              <w:spacing w:before="40" w:after="40"/>
            </w:pPr>
            <w:r>
              <w:rPr>
                <w:sz w:val="18"/>
              </w:rPr>
              <w:t>Yes</w:t>
            </w:r>
          </w:p>
        </w:tc>
        <w:tc>
          <w:tcPr>
            <w:tcW w:type="dxa" w:w="2551"/>
            <w:shd w:val="clear" w:color="auto" w:fill="F2F2F2"/>
            <w:vAlign w:val="center"/>
          </w:tcPr>
          <w:p>
            <w:pPr>
              <w:spacing w:before="40" w:after="40"/>
            </w:pPr>
            <w:r>
              <w:rPr>
                <w:sz w:val="18"/>
              </w:rPr>
              <w:t>No — Dammam; buyer arranges domestic leg</w:t>
            </w:r>
          </w:p>
        </w:tc>
        <w:tc>
          <w:tcPr>
            <w:tcW w:type="dxa" w:w="2551"/>
            <w:shd w:val="clear" w:color="auto" w:fill="F2F2F2"/>
            <w:vAlign w:val="center"/>
          </w:tcPr>
          <w:p>
            <w:pPr>
              <w:spacing w:before="40" w:after="40"/>
            </w:pPr>
            <w:r>
              <w:rPr>
                <w:sz w:val="18"/>
              </w:rPr>
              <w:t>Yes</w:t>
            </w:r>
          </w:p>
        </w:tc>
      </w:tr>
      <w:tr>
        <w:tc>
          <w:tcPr>
            <w:tcW w:type="dxa" w:w="2268"/>
            <w:shd w:val="clear" w:color="auto" w:fill="FFFFFF"/>
            <w:vAlign w:val="center"/>
          </w:tcPr>
          <w:p>
            <w:pPr>
              <w:spacing w:before="40" w:after="40"/>
            </w:pPr>
            <w:r>
              <w:rPr>
                <w:sz w:val="18"/>
              </w:rPr>
              <w:t>SASO/ZATCA</w:t>
            </w:r>
          </w:p>
        </w:tc>
        <w:tc>
          <w:tcPr>
            <w:tcW w:type="dxa" w:w="2268"/>
            <w:shd w:val="clear" w:color="auto" w:fill="FFFFFF"/>
            <w:vAlign w:val="center"/>
          </w:tcPr>
          <w:p>
            <w:pPr>
              <w:spacing w:before="40" w:after="40"/>
            </w:pPr>
            <w:r>
              <w:rPr>
                <w:sz w:val="18"/>
              </w:rPr>
              <w:t>Confirmed</w:t>
            </w:r>
          </w:p>
        </w:tc>
        <w:tc>
          <w:tcPr>
            <w:tcW w:type="dxa" w:w="2551"/>
            <w:shd w:val="clear" w:color="auto" w:fill="FFFFFF"/>
            <w:vAlign w:val="center"/>
          </w:tcPr>
          <w:p>
            <w:pPr>
              <w:spacing w:before="40" w:after="40"/>
            </w:pPr>
            <w:r>
              <w:rPr>
                <w:sz w:val="18"/>
              </w:rPr>
              <w:t>Equally valid at Dammam</w:t>
            </w:r>
          </w:p>
        </w:tc>
        <w:tc>
          <w:tcPr>
            <w:tcW w:type="dxa" w:w="2551"/>
            <w:shd w:val="clear" w:color="auto" w:fill="FFFFFF"/>
            <w:vAlign w:val="center"/>
          </w:tcPr>
          <w:p>
            <w:pPr>
              <w:spacing w:before="40" w:after="40"/>
            </w:pPr>
            <w:r>
              <w:rPr>
                <w:sz w:val="18"/>
              </w:rPr>
              <w:t>Border crossing clearance</w:t>
            </w:r>
          </w:p>
        </w:tc>
      </w:tr>
      <w:tr>
        <w:tc>
          <w:tcPr>
            <w:tcW w:type="dxa" w:w="2268"/>
            <w:shd w:val="clear" w:color="auto" w:fill="F2F2F2"/>
            <w:vAlign w:val="center"/>
          </w:tcPr>
          <w:p>
            <w:pPr>
              <w:spacing w:before="40" w:after="40"/>
            </w:pPr>
            <w:r>
              <w:rPr>
                <w:sz w:val="18"/>
              </w:rPr>
              <w:t>Verdict</w:t>
            </w:r>
          </w:p>
        </w:tc>
        <w:tc>
          <w:tcPr>
            <w:tcW w:type="dxa" w:w="2268"/>
            <w:shd w:val="clear" w:color="auto" w:fill="F2F2F2"/>
            <w:vAlign w:val="center"/>
          </w:tcPr>
          <w:p>
            <w:pPr>
              <w:spacing w:before="40" w:after="40"/>
            </w:pPr>
            <w:r>
              <w:rPr>
                <w:sz w:val="18"/>
              </w:rPr>
              <w:t>⚠ NOT RECOMMENDED</w:t>
            </w:r>
          </w:p>
        </w:tc>
        <w:tc>
          <w:tcPr>
            <w:tcW w:type="dxa" w:w="2551"/>
            <w:shd w:val="clear" w:color="auto" w:fill="F2F2F2"/>
            <w:vAlign w:val="center"/>
          </w:tcPr>
          <w:p>
            <w:pPr>
              <w:spacing w:before="40" w:after="40"/>
            </w:pPr>
            <w:r>
              <w:rPr>
                <w:sz w:val="18"/>
              </w:rPr>
              <w:t>PREFERRED — lowest risk</w:t>
            </w:r>
          </w:p>
        </w:tc>
        <w:tc>
          <w:tcPr>
            <w:tcW w:type="dxa" w:w="2551"/>
            <w:shd w:val="clear" w:color="auto" w:fill="F2F2F2"/>
            <w:vAlign w:val="center"/>
          </w:tcPr>
          <w:p>
            <w:pPr>
              <w:spacing w:before="40" w:after="40"/>
            </w:pPr>
            <w:r>
              <w:rPr>
                <w:sz w:val="18"/>
              </w:rPr>
              <w:t>VIABLE — direct Jeddah delivery</w:t>
            </w:r>
          </w:p>
        </w:tc>
      </w:tr>
    </w:tbl>
    <w:p/>
    <w:p>
      <w:pPr>
        <w:spacing w:before="40" w:after="80"/>
      </w:pPr>
      <w:r>
        <w:rPr>
          <w:b/>
          <w:i w:val="0"/>
          <w:sz w:val="20"/>
        </w:rPr>
        <w:t>MEO recommendation: Progress Scenario C for carrier RFQ — it delivers directly to Jeddah (confirmed buyer location) with no chokepoint exposure. Scenario B remains the fallback if the overland distance for Scenario C presents a permit or logistics obstacle. Do not progress Scenario A until the Houthi maritime embargo on Saudi vessels is lifted.</w:t>
      </w:r>
    </w:p>
    <w:p>
      <w:r>
        <w:br w:type="page"/>
      </w:r>
    </w:p>
    <w:p>
      <w:pPr>
        <w:spacing w:before="360" w:after="80"/>
        <w:pBdr>
          <w:bottom w:val="single" w:sz="6" w:space="1" w:color="1F497D"/>
        </w:pBdr>
      </w:pPr>
      <w:r>
        <w:rPr>
          <w:b/>
          <w:color w:val="1F497D"/>
          <w:sz w:val="26"/>
        </w:rPr>
        <w:t>PART 4 — CARRIERS AND PORT OF MELBOURNE</w:t>
      </w:r>
    </w:p>
    <w:p>
      <w:pPr>
        <w:spacing w:before="240" w:after="40"/>
      </w:pPr>
      <w:r>
        <w:rPr>
          <w:b/>
          <w:color w:val="1A2B3C"/>
          <w:sz w:val="22"/>
        </w:rPr>
        <w:t>4.1  Confirmed Carriers — Melbourne to Middle East H&amp;H RoRo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F497D"/>
            <w:vAlign w:val="center"/>
          </w:tcPr>
          <w:p>
            <w:pPr>
              <w:spacing w:before="40" w:after="40"/>
            </w:pPr>
            <w:r>
              <w:rPr>
                <w:b/>
                <w:color w:val="FFFFFF"/>
                <w:sz w:val="18"/>
              </w:rPr>
              <w:t>Carrier</w:t>
            </w:r>
          </w:p>
        </w:tc>
        <w:tc>
          <w:tcPr>
            <w:tcW w:type="dxa" w:w="2268"/>
            <w:shd w:val="clear" w:color="auto" w:fill="1F497D"/>
            <w:vAlign w:val="center"/>
          </w:tcPr>
          <w:p>
            <w:pPr>
              <w:spacing w:before="40" w:after="40"/>
            </w:pPr>
            <w:r>
              <w:rPr>
                <w:b/>
                <w:color w:val="FFFFFF"/>
                <w:sz w:val="18"/>
              </w:rPr>
              <w:t>Melbourne Presence</w:t>
            </w:r>
          </w:p>
        </w:tc>
        <w:tc>
          <w:tcPr>
            <w:tcW w:type="dxa" w:w="2268"/>
            <w:shd w:val="clear" w:color="auto" w:fill="1F497D"/>
            <w:vAlign w:val="center"/>
          </w:tcPr>
          <w:p>
            <w:pPr>
              <w:spacing w:before="40" w:after="40"/>
            </w:pPr>
            <w:r>
              <w:rPr>
                <w:b/>
                <w:color w:val="FFFFFF"/>
                <w:sz w:val="18"/>
              </w:rPr>
              <w:t>Middle East Ports</w:t>
            </w:r>
          </w:p>
        </w:tc>
        <w:tc>
          <w:tcPr>
            <w:tcW w:type="dxa" w:w="3118"/>
            <w:shd w:val="clear" w:color="auto" w:fill="1F497D"/>
            <w:vAlign w:val="center"/>
          </w:tcPr>
          <w:p>
            <w:pPr>
              <w:spacing w:before="40" w:after="40"/>
            </w:pPr>
            <w:r>
              <w:rPr>
                <w:b/>
                <w:color w:val="FFFFFF"/>
                <w:sz w:val="18"/>
              </w:rPr>
              <w:t>Status</w:t>
            </w:r>
          </w:p>
        </w:tc>
      </w:tr>
      <w:tr>
        <w:tc>
          <w:tcPr>
            <w:tcW w:type="dxa" w:w="1984"/>
            <w:shd w:val="clear" w:color="auto" w:fill="FFFFFF"/>
            <w:vAlign w:val="center"/>
          </w:tcPr>
          <w:p>
            <w:pPr>
              <w:spacing w:before="40" w:after="40"/>
            </w:pPr>
            <w:r>
              <w:rPr>
                <w:sz w:val="18"/>
              </w:rPr>
              <w:t>NYK RoRo</w:t>
            </w:r>
          </w:p>
        </w:tc>
        <w:tc>
          <w:tcPr>
            <w:tcW w:type="dxa" w:w="2268"/>
            <w:shd w:val="clear" w:color="auto" w:fill="FFFFFF"/>
            <w:vAlign w:val="center"/>
          </w:tcPr>
          <w:p>
            <w:pPr>
              <w:spacing w:before="40" w:after="40"/>
            </w:pPr>
            <w:r>
              <w:rPr>
                <w:sz w:val="18"/>
              </w:rPr>
              <w:t>Confirmed — Webb Dock West</w:t>
            </w:r>
          </w:p>
        </w:tc>
        <w:tc>
          <w:tcPr>
            <w:tcW w:type="dxa" w:w="2268"/>
            <w:shd w:val="clear" w:color="auto" w:fill="FFFFFF"/>
            <w:vAlign w:val="center"/>
          </w:tcPr>
          <w:p>
            <w:pPr>
              <w:spacing w:before="40" w:after="40"/>
            </w:pPr>
            <w:r>
              <w:rPr>
                <w:sz w:val="18"/>
              </w:rPr>
              <w:t>Jeddah, Aqaba, Jebel Ali, Dammam, Bahrain, Kuwait</w:t>
            </w:r>
          </w:p>
        </w:tc>
        <w:tc>
          <w:tcPr>
            <w:tcW w:type="dxa" w:w="3118"/>
            <w:shd w:val="clear" w:color="auto" w:fill="FFFFFF"/>
            <w:vAlign w:val="center"/>
          </w:tcPr>
          <w:p>
            <w:pPr>
              <w:spacing w:before="40" w:after="40"/>
            </w:pPr>
            <w:r>
              <w:rPr>
                <w:sz w:val="18"/>
              </w:rPr>
              <w:t>CONFIRMED — Australia to Middle East on schedule (updated 19 Nov 2025)</w:t>
            </w:r>
          </w:p>
        </w:tc>
      </w:tr>
      <w:tr>
        <w:tc>
          <w:tcPr>
            <w:tcW w:type="dxa" w:w="1984"/>
            <w:shd w:val="clear" w:color="auto" w:fill="F2F2F2"/>
            <w:vAlign w:val="center"/>
          </w:tcPr>
          <w:p>
            <w:pPr>
              <w:spacing w:before="40" w:after="40"/>
            </w:pPr>
            <w:r>
              <w:rPr>
                <w:sz w:val="18"/>
              </w:rPr>
              <w:t>WWL (Wallenius Wilhelmsen)</w:t>
            </w:r>
          </w:p>
        </w:tc>
        <w:tc>
          <w:tcPr>
            <w:tcW w:type="dxa" w:w="2268"/>
            <w:shd w:val="clear" w:color="auto" w:fill="F2F2F2"/>
            <w:vAlign w:val="center"/>
          </w:tcPr>
          <w:p>
            <w:pPr>
              <w:spacing w:before="40" w:after="40"/>
            </w:pPr>
            <w:r>
              <w:rPr>
                <w:sz w:val="18"/>
              </w:rPr>
              <w:t>Confirmed — Webb Dock West</w:t>
            </w:r>
          </w:p>
        </w:tc>
        <w:tc>
          <w:tcPr>
            <w:tcW w:type="dxa" w:w="2268"/>
            <w:shd w:val="clear" w:color="auto" w:fill="F2F2F2"/>
            <w:vAlign w:val="center"/>
          </w:tcPr>
          <w:p>
            <w:pPr>
              <w:spacing w:before="40" w:after="40"/>
            </w:pPr>
            <w:r>
              <w:rPr>
                <w:sz w:val="18"/>
              </w:rPr>
              <w:t>Jeddah, Dammam, Jebel Ali, Aqaba, Kuwait</w:t>
            </w:r>
          </w:p>
        </w:tc>
        <w:tc>
          <w:tcPr>
            <w:tcW w:type="dxa" w:w="3118"/>
            <w:shd w:val="clear" w:color="auto" w:fill="F2F2F2"/>
            <w:vAlign w:val="center"/>
          </w:tcPr>
          <w:p>
            <w:pPr>
              <w:spacing w:before="40" w:after="40"/>
            </w:pPr>
            <w:r>
              <w:rPr>
                <w:sz w:val="18"/>
              </w:rPr>
              <w:t>CONFIRMED — all vessels via Cape of Good Hope as at Jul 2026</w:t>
            </w:r>
          </w:p>
        </w:tc>
      </w:tr>
      <w:tr>
        <w:tc>
          <w:tcPr>
            <w:tcW w:type="dxa" w:w="1984"/>
            <w:shd w:val="clear" w:color="auto" w:fill="FFFFFF"/>
            <w:vAlign w:val="center"/>
          </w:tcPr>
          <w:p>
            <w:pPr>
              <w:spacing w:before="40" w:after="40"/>
            </w:pPr>
            <w:r>
              <w:rPr>
                <w:sz w:val="18"/>
              </w:rPr>
              <w:t>Höegh Autoliners</w:t>
            </w:r>
          </w:p>
        </w:tc>
        <w:tc>
          <w:tcPr>
            <w:tcW w:type="dxa" w:w="2268"/>
            <w:shd w:val="clear" w:color="auto" w:fill="FFFFFF"/>
            <w:vAlign w:val="center"/>
          </w:tcPr>
          <w:p>
            <w:pPr>
              <w:spacing w:before="40" w:after="40"/>
            </w:pPr>
            <w:r>
              <w:rPr>
                <w:sz w:val="18"/>
              </w:rPr>
              <w:t>Confirmed — multiple AU ports, up to 4×/month</w:t>
            </w:r>
          </w:p>
        </w:tc>
        <w:tc>
          <w:tcPr>
            <w:tcW w:type="dxa" w:w="2268"/>
            <w:shd w:val="clear" w:color="auto" w:fill="FFFFFF"/>
            <w:vAlign w:val="center"/>
          </w:tcPr>
          <w:p>
            <w:pPr>
              <w:spacing w:before="40" w:after="40"/>
            </w:pPr>
            <w:r>
              <w:rPr>
                <w:sz w:val="18"/>
              </w:rPr>
              <w:t>Jebel Ali (direct); Gulf via transhipment</w:t>
            </w:r>
          </w:p>
        </w:tc>
        <w:tc>
          <w:tcPr>
            <w:tcW w:type="dxa" w:w="3118"/>
            <w:shd w:val="clear" w:color="auto" w:fill="FFFFFF"/>
            <w:vAlign w:val="center"/>
          </w:tcPr>
          <w:p>
            <w:pPr>
              <w:spacing w:before="40" w:after="40"/>
            </w:pPr>
            <w:r>
              <w:rPr>
                <w:sz w:val="18"/>
              </w:rPr>
              <w:t>CONFIRMED — Jebel Ali–Singapore direct confirmed; current Red Sea position post-embargo unconfirmed</w:t>
            </w:r>
          </w:p>
        </w:tc>
      </w:tr>
      <w:tr>
        <w:tc>
          <w:tcPr>
            <w:tcW w:type="dxa" w:w="1984"/>
            <w:shd w:val="clear" w:color="auto" w:fill="F2F2F2"/>
            <w:vAlign w:val="center"/>
          </w:tcPr>
          <w:p>
            <w:pPr>
              <w:spacing w:before="40" w:after="40"/>
            </w:pPr>
            <w:r>
              <w:rPr>
                <w:sz w:val="18"/>
              </w:rPr>
              <w:t>K-Line Global RoRo</w:t>
            </w:r>
          </w:p>
        </w:tc>
        <w:tc>
          <w:tcPr>
            <w:tcW w:type="dxa" w:w="2268"/>
            <w:shd w:val="clear" w:color="auto" w:fill="F2F2F2"/>
            <w:vAlign w:val="center"/>
          </w:tcPr>
          <w:p>
            <w:pPr>
              <w:spacing w:before="40" w:after="40"/>
            </w:pPr>
            <w:r>
              <w:rPr>
                <w:sz w:val="18"/>
              </w:rPr>
              <w:t>Confirmed — Asia-Australia service</w:t>
            </w:r>
          </w:p>
        </w:tc>
        <w:tc>
          <w:tcPr>
            <w:tcW w:type="dxa" w:w="2268"/>
            <w:shd w:val="clear" w:color="auto" w:fill="F2F2F2"/>
            <w:vAlign w:val="center"/>
          </w:tcPr>
          <w:p>
            <w:pPr>
              <w:spacing w:before="40" w:after="40"/>
            </w:pPr>
            <w:r>
              <w:rPr>
                <w:sz w:val="18"/>
              </w:rPr>
              <w:t>Jeddah, Jebel Ali</w:t>
            </w:r>
          </w:p>
        </w:tc>
        <w:tc>
          <w:tcPr>
            <w:tcW w:type="dxa" w:w="3118"/>
            <w:shd w:val="clear" w:color="auto" w:fill="F2F2F2"/>
            <w:vAlign w:val="center"/>
          </w:tcPr>
          <w:p>
            <w:pPr>
              <w:spacing w:before="40" w:after="40"/>
            </w:pPr>
            <w:r>
              <w:rPr>
                <w:sz w:val="18"/>
              </w:rPr>
              <w:t>PROBABLE — Middle East capability confirmed; direct Melbourne export rotation unconfirmed</w:t>
            </w:r>
          </w:p>
        </w:tc>
      </w:tr>
      <w:tr>
        <w:tc>
          <w:tcPr>
            <w:tcW w:type="dxa" w:w="1984"/>
            <w:shd w:val="clear" w:color="auto" w:fill="FFFFFF"/>
            <w:vAlign w:val="center"/>
          </w:tcPr>
          <w:p>
            <w:pPr>
              <w:spacing w:before="40" w:after="40"/>
            </w:pPr>
            <w:r>
              <w:rPr>
                <w:sz w:val="18"/>
              </w:rPr>
              <w:t>MOL</w:t>
            </w:r>
          </w:p>
        </w:tc>
        <w:tc>
          <w:tcPr>
            <w:tcW w:type="dxa" w:w="2268"/>
            <w:shd w:val="clear" w:color="auto" w:fill="FFFFFF"/>
            <w:vAlign w:val="center"/>
          </w:tcPr>
          <w:p>
            <w:pPr>
              <w:spacing w:before="40" w:after="40"/>
            </w:pPr>
            <w:r>
              <w:rPr>
                <w:sz w:val="18"/>
              </w:rPr>
              <w:t>Australia service confirmed</w:t>
            </w:r>
          </w:p>
        </w:tc>
        <w:tc>
          <w:tcPr>
            <w:tcW w:type="dxa" w:w="2268"/>
            <w:shd w:val="clear" w:color="auto" w:fill="FFFFFF"/>
            <w:vAlign w:val="center"/>
          </w:tcPr>
          <w:p>
            <w:pPr>
              <w:spacing w:before="40" w:after="40"/>
            </w:pPr>
            <w:r>
              <w:rPr>
                <w:sz w:val="18"/>
              </w:rPr>
              <w:t>Jebel Ali, Middle East</w:t>
            </w:r>
          </w:p>
        </w:tc>
        <w:tc>
          <w:tcPr>
            <w:tcW w:type="dxa" w:w="3118"/>
            <w:shd w:val="clear" w:color="auto" w:fill="FFFFFF"/>
            <w:vAlign w:val="center"/>
          </w:tcPr>
          <w:p>
            <w:pPr>
              <w:spacing w:before="40" w:after="40"/>
            </w:pPr>
            <w:r>
              <w:rPr>
                <w:sz w:val="18"/>
              </w:rPr>
              <w:t>PROBABLE — specific Melbourne rotation unconfirmed in this research</w:t>
            </w:r>
          </w:p>
        </w:tc>
      </w:tr>
      <w:tr>
        <w:tc>
          <w:tcPr>
            <w:tcW w:type="dxa" w:w="1984"/>
            <w:shd w:val="clear" w:color="auto" w:fill="F2F2F2"/>
            <w:vAlign w:val="center"/>
          </w:tcPr>
          <w:p>
            <w:pPr>
              <w:spacing w:before="40" w:after="40"/>
            </w:pPr>
            <w:r>
              <w:rPr>
                <w:sz w:val="18"/>
              </w:rPr>
              <w:t>Grimaldi</w:t>
            </w:r>
          </w:p>
        </w:tc>
        <w:tc>
          <w:tcPr>
            <w:tcW w:type="dxa" w:w="2268"/>
            <w:shd w:val="clear" w:color="auto" w:fill="F2F2F2"/>
            <w:vAlign w:val="center"/>
          </w:tcPr>
          <w:p>
            <w:pPr>
              <w:spacing w:before="40" w:after="40"/>
            </w:pPr>
            <w:r>
              <w:rPr>
                <w:sz w:val="18"/>
              </w:rPr>
              <w:t>Insufficient evidence</w:t>
            </w:r>
          </w:p>
        </w:tc>
        <w:tc>
          <w:tcPr>
            <w:tcW w:type="dxa" w:w="2268"/>
            <w:shd w:val="clear" w:color="auto" w:fill="F2F2F2"/>
            <w:vAlign w:val="center"/>
          </w:tcPr>
          <w:p>
            <w:pPr>
              <w:spacing w:before="40" w:after="40"/>
            </w:pPr>
            <w:r>
              <w:rPr>
                <w:sz w:val="18"/>
              </w:rPr>
              <w:t>N/A</w:t>
            </w:r>
          </w:p>
        </w:tc>
        <w:tc>
          <w:tcPr>
            <w:tcW w:type="dxa" w:w="3118"/>
            <w:shd w:val="clear" w:color="auto" w:fill="F2F2F2"/>
            <w:vAlign w:val="center"/>
          </w:tcPr>
          <w:p>
            <w:pPr>
              <w:spacing w:before="40" w:after="40"/>
            </w:pPr>
            <w:r>
              <w:rPr>
                <w:sz w:val="18"/>
              </w:rPr>
              <w:t>NOT RELEVANT — Grimaldi focuses on Europe/Africa/Americas; remove from consideration</w:t>
            </w:r>
          </w:p>
        </w:tc>
      </w:tr>
    </w:tbl>
    <w:p/>
    <w:p>
      <w:pPr>
        <w:spacing w:before="40" w:after="80"/>
      </w:pPr>
      <w:r>
        <w:rPr>
          <w:b w:val="0"/>
          <w:i w:val="0"/>
          <w:sz w:val="20"/>
        </w:rPr>
        <w:t>RFQ should be issued simultaneously to NYK, WWL, and Höegh. Specify: 8 × H&amp;H RoRo units; 18 m × 3 m × 2.8 m; 20,000 kg GVM; degassed ex-fuel tanker (Gas-Free Certificates held); Melbourne export; discharge preference Khorfakkan or Fujairah (primary); confirm H&amp;H deck width allocation for 3 m cargo; request confirmation of whether width billing factor applies.</w:t>
      </w:r>
    </w:p>
    <w:p>
      <w:pPr>
        <w:spacing w:before="240" w:after="40"/>
      </w:pPr>
      <w:r>
        <w:rPr>
          <w:b/>
          <w:color w:val="1A2B3C"/>
          <w:sz w:val="22"/>
        </w:rPr>
        <w:t>4.2  Port of Melbourne — AAT Webb Dock West</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F497D"/>
            <w:vAlign w:val="center"/>
          </w:tcPr>
          <w:p>
            <w:pPr>
              <w:spacing w:before="40" w:after="40"/>
            </w:pPr>
            <w:r>
              <w:rPr>
                <w:b/>
                <w:color w:val="FFFFFF"/>
                <w:sz w:val="18"/>
              </w:rPr>
              <w:t>Item</w:t>
            </w:r>
          </w:p>
        </w:tc>
        <w:tc>
          <w:tcPr>
            <w:tcW w:type="dxa" w:w="6803"/>
            <w:shd w:val="clear" w:color="auto" w:fill="1F497D"/>
            <w:vAlign w:val="center"/>
          </w:tcPr>
          <w:p>
            <w:pPr>
              <w:spacing w:before="40" w:after="40"/>
            </w:pPr>
            <w:r>
              <w:rPr>
                <w:b/>
                <w:color w:val="FFFFFF"/>
                <w:sz w:val="18"/>
              </w:rPr>
              <w:t>Detail</w:t>
            </w:r>
          </w:p>
        </w:tc>
      </w:tr>
      <w:tr>
        <w:tc>
          <w:tcPr>
            <w:tcW w:type="dxa" w:w="2835"/>
            <w:shd w:val="clear" w:color="auto" w:fill="FFFFFF"/>
            <w:vAlign w:val="center"/>
          </w:tcPr>
          <w:p>
            <w:pPr>
              <w:spacing w:before="40" w:after="40"/>
            </w:pPr>
            <w:r>
              <w:rPr>
                <w:sz w:val="18"/>
              </w:rPr>
              <w:t>Terminal</w:t>
            </w:r>
          </w:p>
        </w:tc>
        <w:tc>
          <w:tcPr>
            <w:tcW w:type="dxa" w:w="6803"/>
            <w:shd w:val="clear" w:color="auto" w:fill="FFFFFF"/>
            <w:vAlign w:val="center"/>
          </w:tcPr>
          <w:p>
            <w:pPr>
              <w:spacing w:before="40" w:after="40"/>
            </w:pPr>
            <w:r>
              <w:rPr>
                <w:sz w:val="18"/>
              </w:rPr>
              <w:t>AAT Webb Dock West (formerly MIRRAT)</w:t>
            </w:r>
          </w:p>
        </w:tc>
      </w:tr>
      <w:tr>
        <w:tc>
          <w:tcPr>
            <w:tcW w:type="dxa" w:w="2835"/>
            <w:shd w:val="clear" w:color="auto" w:fill="F2F2F2"/>
            <w:vAlign w:val="center"/>
          </w:tcPr>
          <w:p>
            <w:pPr>
              <w:spacing w:before="40" w:after="40"/>
            </w:pPr>
            <w:r>
              <w:rPr>
                <w:sz w:val="18"/>
              </w:rPr>
              <w:t>Operator</w:t>
            </w:r>
          </w:p>
        </w:tc>
        <w:tc>
          <w:tcPr>
            <w:tcW w:type="dxa" w:w="6803"/>
            <w:shd w:val="clear" w:color="auto" w:fill="F2F2F2"/>
            <w:vAlign w:val="center"/>
          </w:tcPr>
          <w:p>
            <w:pPr>
              <w:spacing w:before="40" w:after="40"/>
            </w:pPr>
            <w:r>
              <w:rPr>
                <w:sz w:val="18"/>
              </w:rPr>
              <w:t>Australian Amalgamated Terminals Pty Ltd (subsidiary of Qube Holdings). Sale from WWL completed 1 May 2025.</w:t>
            </w:r>
          </w:p>
        </w:tc>
      </w:tr>
      <w:tr>
        <w:tc>
          <w:tcPr>
            <w:tcW w:type="dxa" w:w="2835"/>
            <w:shd w:val="clear" w:color="auto" w:fill="FFFFFF"/>
            <w:vAlign w:val="center"/>
          </w:tcPr>
          <w:p>
            <w:pPr>
              <w:spacing w:before="40" w:after="40"/>
            </w:pPr>
            <w:r>
              <w:rPr>
                <w:sz w:val="18"/>
              </w:rPr>
              <w:t>Address</w:t>
            </w:r>
          </w:p>
        </w:tc>
        <w:tc>
          <w:tcPr>
            <w:tcW w:type="dxa" w:w="6803"/>
            <w:shd w:val="clear" w:color="auto" w:fill="FFFFFF"/>
            <w:vAlign w:val="center"/>
          </w:tcPr>
          <w:p>
            <w:pPr>
              <w:spacing w:before="40" w:after="40"/>
            </w:pPr>
            <w:r>
              <w:rPr>
                <w:sz w:val="18"/>
              </w:rPr>
              <w:t>46 Kooringa Way, Port Melbourne VIC 3207</w:t>
            </w:r>
          </w:p>
        </w:tc>
      </w:tr>
      <w:tr>
        <w:tc>
          <w:tcPr>
            <w:tcW w:type="dxa" w:w="2835"/>
            <w:shd w:val="clear" w:color="auto" w:fill="F2F2F2"/>
            <w:vAlign w:val="center"/>
          </w:tcPr>
          <w:p>
            <w:pPr>
              <w:spacing w:before="40" w:after="40"/>
            </w:pPr>
            <w:r>
              <w:rPr>
                <w:sz w:val="18"/>
              </w:rPr>
              <w:t>Admin phone</w:t>
            </w:r>
          </w:p>
        </w:tc>
        <w:tc>
          <w:tcPr>
            <w:tcW w:type="dxa" w:w="6803"/>
            <w:shd w:val="clear" w:color="auto" w:fill="F2F2F2"/>
            <w:vAlign w:val="center"/>
          </w:tcPr>
          <w:p>
            <w:pPr>
              <w:spacing w:before="40" w:after="40"/>
            </w:pPr>
            <w:r>
              <w:rPr>
                <w:sz w:val="18"/>
              </w:rPr>
              <w:t>+61 3 8698 6960</w:t>
            </w:r>
          </w:p>
        </w:tc>
      </w:tr>
      <w:tr>
        <w:tc>
          <w:tcPr>
            <w:tcW w:type="dxa" w:w="2835"/>
            <w:shd w:val="clear" w:color="auto" w:fill="FFFFFF"/>
            <w:vAlign w:val="center"/>
          </w:tcPr>
          <w:p>
            <w:pPr>
              <w:spacing w:before="40" w:after="40"/>
            </w:pPr>
            <w:r>
              <w:rPr>
                <w:sz w:val="18"/>
              </w:rPr>
              <w:t>Rec &amp; Del Office</w:t>
            </w:r>
          </w:p>
        </w:tc>
        <w:tc>
          <w:tcPr>
            <w:tcW w:type="dxa" w:w="6803"/>
            <w:shd w:val="clear" w:color="auto" w:fill="FFFFFF"/>
            <w:vAlign w:val="center"/>
          </w:tcPr>
          <w:p>
            <w:pPr>
              <w:spacing w:before="40" w:after="40"/>
            </w:pPr>
            <w:r>
              <w:rPr>
                <w:sz w:val="18"/>
              </w:rPr>
              <w:t>+61 3 8698 6970</w:t>
            </w:r>
          </w:p>
        </w:tc>
      </w:tr>
      <w:tr>
        <w:tc>
          <w:tcPr>
            <w:tcW w:type="dxa" w:w="2835"/>
            <w:shd w:val="clear" w:color="auto" w:fill="F2F2F2"/>
            <w:vAlign w:val="center"/>
          </w:tcPr>
          <w:p>
            <w:pPr>
              <w:spacing w:before="40" w:after="40"/>
            </w:pPr>
            <w:r>
              <w:rPr>
                <w:sz w:val="18"/>
              </w:rPr>
              <w:t>Email</w:t>
            </w:r>
          </w:p>
        </w:tc>
        <w:tc>
          <w:tcPr>
            <w:tcW w:type="dxa" w:w="6803"/>
            <w:shd w:val="clear" w:color="auto" w:fill="F2F2F2"/>
            <w:vAlign w:val="center"/>
          </w:tcPr>
          <w:p>
            <w:pPr>
              <w:spacing w:before="40" w:after="40"/>
            </w:pPr>
            <w:r>
              <w:rPr>
                <w:sz w:val="18"/>
              </w:rPr>
              <w:t>WD.Dispatch@aaterminals.com.au</w:t>
            </w:r>
          </w:p>
        </w:tc>
      </w:tr>
      <w:tr>
        <w:tc>
          <w:tcPr>
            <w:tcW w:type="dxa" w:w="2835"/>
            <w:shd w:val="clear" w:color="auto" w:fill="FFFFFF"/>
            <w:vAlign w:val="center"/>
          </w:tcPr>
          <w:p>
            <w:pPr>
              <w:spacing w:before="40" w:after="40"/>
            </w:pPr>
            <w:r>
              <w:rPr>
                <w:sz w:val="18"/>
              </w:rPr>
              <w:t>Berths</w:t>
            </w:r>
          </w:p>
        </w:tc>
        <w:tc>
          <w:tcPr>
            <w:tcW w:type="dxa" w:w="6803"/>
            <w:shd w:val="clear" w:color="auto" w:fill="FFFFFF"/>
            <w:vAlign w:val="center"/>
          </w:tcPr>
          <w:p>
            <w:pPr>
              <w:spacing w:before="40" w:after="40"/>
            </w:pPr>
            <w:r>
              <w:rPr>
                <w:sz w:val="18"/>
              </w:rPr>
              <w:t>3</w:t>
            </w:r>
          </w:p>
        </w:tc>
      </w:tr>
      <w:tr>
        <w:tc>
          <w:tcPr>
            <w:tcW w:type="dxa" w:w="2835"/>
            <w:shd w:val="clear" w:color="auto" w:fill="F2F2F2"/>
            <w:vAlign w:val="center"/>
          </w:tcPr>
          <w:p>
            <w:pPr>
              <w:spacing w:before="40" w:after="40"/>
            </w:pPr>
            <w:r>
              <w:rPr>
                <w:sz w:val="18"/>
              </w:rPr>
              <w:t>Key equipment</w:t>
            </w:r>
          </w:p>
        </w:tc>
        <w:tc>
          <w:tcPr>
            <w:tcW w:type="dxa" w:w="6803"/>
            <w:shd w:val="clear" w:color="auto" w:fill="F2F2F2"/>
            <w:vAlign w:val="center"/>
          </w:tcPr>
          <w:p>
            <w:pPr>
              <w:spacing w:before="40" w:after="40"/>
            </w:pPr>
            <w:r>
              <w:rPr>
                <w:sz w:val="18"/>
              </w:rPr>
              <w:t>120-tonne gantry crane; 35 hectare footprint; 8,000 m² undercover storage; 2 quarantine wash bays</w:t>
            </w:r>
          </w:p>
        </w:tc>
      </w:tr>
      <w:tr>
        <w:tc>
          <w:tcPr>
            <w:tcW w:type="dxa" w:w="2835"/>
            <w:shd w:val="clear" w:color="auto" w:fill="FFFFFF"/>
            <w:vAlign w:val="center"/>
          </w:tcPr>
          <w:p>
            <w:pPr>
              <w:spacing w:before="40" w:after="40"/>
            </w:pPr>
            <w:r>
              <w:rPr>
                <w:sz w:val="18"/>
              </w:rPr>
              <w:t>Cargo booking</w:t>
            </w:r>
          </w:p>
        </w:tc>
        <w:tc>
          <w:tcPr>
            <w:tcW w:type="dxa" w:w="6803"/>
            <w:shd w:val="clear" w:color="auto" w:fill="FFFFFF"/>
            <w:vAlign w:val="center"/>
          </w:tcPr>
          <w:p>
            <w:pPr>
              <w:spacing w:before="40" w:after="40"/>
            </w:pPr>
            <w:r>
              <w:rPr>
                <w:sz w:val="18"/>
              </w:rPr>
              <w:t>Placed directly with carrier (NYK, WWL, Höegh) — not with terminal. Terminal handles vessel berthing.</w:t>
            </w:r>
          </w:p>
        </w:tc>
      </w:tr>
      <w:tr>
        <w:tc>
          <w:tcPr>
            <w:tcW w:type="dxa" w:w="2835"/>
            <w:shd w:val="clear" w:color="auto" w:fill="F2F2F2"/>
            <w:vAlign w:val="center"/>
          </w:tcPr>
          <w:p>
            <w:pPr>
              <w:spacing w:before="40" w:after="40"/>
            </w:pPr>
            <w:r>
              <w:rPr>
                <w:sz w:val="18"/>
              </w:rPr>
              <w:t>NYK contact</w:t>
            </w:r>
          </w:p>
        </w:tc>
        <w:tc>
          <w:tcPr>
            <w:tcW w:type="dxa" w:w="6803"/>
            <w:shd w:val="clear" w:color="auto" w:fill="F2F2F2"/>
            <w:vAlign w:val="center"/>
          </w:tcPr>
          <w:p>
            <w:pPr>
              <w:spacing w:before="40" w:after="40"/>
            </w:pPr>
            <w:r>
              <w:rPr>
                <w:sz w:val="18"/>
              </w:rPr>
              <w:t>australia.roro@nykgroup.com</w:t>
            </w:r>
          </w:p>
        </w:tc>
      </w:tr>
    </w:tbl>
    <w:p/>
    <w:p>
      <w:r>
        <w:br w:type="page"/>
      </w:r>
    </w:p>
    <w:p>
      <w:pPr>
        <w:spacing w:before="360" w:after="80"/>
        <w:pBdr>
          <w:bottom w:val="single" w:sz="6" w:space="1" w:color="1F497D"/>
        </w:pBdr>
      </w:pPr>
      <w:r>
        <w:rPr>
          <w:b/>
          <w:color w:val="1F497D"/>
          <w:sz w:val="26"/>
        </w:rPr>
        <w:t>PART 5 — INDICATIVE FREIGHT RATES</w:t>
      </w:r>
    </w:p>
    <w:tbl>
      <w:tblPr>
        <w:tblStyle w:val="TableGrid"/>
        <w:tblW w:type="auto" w:w="0"/>
        <w:tblLook w:firstColumn="1" w:firstRow="1" w:lastColumn="0" w:lastRow="0" w:noHBand="0" w:noVBand="1" w:val="04A0"/>
      </w:tblPr>
      <w:tblGrid>
        <w:gridCol w:w="9406"/>
      </w:tblGrid>
      <w:tr>
        <w:tc>
          <w:tcPr>
            <w:tcW w:type="dxa" w:w="9406"/>
            <w:shd w:val="clear" w:color="auto" w:fill="FFF3CC"/>
          </w:tcPr>
          <w:p>
            <w:pPr>
              <w:spacing w:before="80"/>
            </w:pPr>
            <w:r>
              <w:rPr>
                <w:b/>
                <w:color w:val="1A2B3C"/>
                <w:sz w:val="20"/>
              </w:rPr>
              <w:t>Rate Data Notice</w:t>
              <w:br/>
            </w:r>
            <w:r>
              <w:rPr>
                <w:sz w:val="20"/>
              </w:rPr>
              <w:t>All figures below are indicative — Tier 4/5 sources. H&amp;H RoRo rates on this lane are 100% quote-based.</w:t>
              <w:br/>
            </w:r>
            <w:r>
              <w:rPr>
                <w:sz w:val="20"/>
              </w:rPr>
              <w:t>No confirmed carrier tariff is publicly available for Melbourne → Middle East H&amp;H RoRo.</w:t>
              <w:br/>
            </w:r>
            <w:r>
              <w:rPr>
                <w:sz w:val="20"/>
              </w:rPr>
              <w:t>A live formal RFQ to NYK, WWL, and Höegh is required before any rate is used in a commercial decision.</w:t>
              <w:br/>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3402"/>
            <w:shd w:val="clear" w:color="auto" w:fill="1F497D"/>
            <w:vAlign w:val="center"/>
          </w:tcPr>
          <w:p>
            <w:pPr>
              <w:spacing w:before="40" w:after="40"/>
            </w:pPr>
            <w:r>
              <w:rPr>
                <w:b/>
                <w:color w:val="FFFFFF"/>
                <w:sz w:val="18"/>
              </w:rPr>
              <w:t>Cost Component</w:t>
            </w:r>
          </w:p>
        </w:tc>
        <w:tc>
          <w:tcPr>
            <w:tcW w:type="dxa" w:w="2551"/>
            <w:shd w:val="clear" w:color="auto" w:fill="1F497D"/>
            <w:vAlign w:val="center"/>
          </w:tcPr>
          <w:p>
            <w:pPr>
              <w:spacing w:before="40" w:after="40"/>
            </w:pPr>
            <w:r>
              <w:rPr>
                <w:b/>
                <w:color w:val="FFFFFF"/>
                <w:sz w:val="18"/>
              </w:rPr>
              <w:t>Indicative Range</w:t>
            </w:r>
          </w:p>
        </w:tc>
        <w:tc>
          <w:tcPr>
            <w:tcW w:type="dxa" w:w="3685"/>
            <w:shd w:val="clear" w:color="auto" w:fill="1F497D"/>
            <w:vAlign w:val="center"/>
          </w:tcPr>
          <w:p>
            <w:pPr>
              <w:spacing w:before="40" w:after="40"/>
            </w:pPr>
            <w:r>
              <w:rPr>
                <w:b/>
                <w:color w:val="FFFFFF"/>
                <w:sz w:val="18"/>
              </w:rPr>
              <w:t>Basis / Source</w:t>
            </w:r>
          </w:p>
        </w:tc>
      </w:tr>
      <w:tr>
        <w:tc>
          <w:tcPr>
            <w:tcW w:type="dxa" w:w="3402"/>
            <w:shd w:val="clear" w:color="auto" w:fill="FFFFFF"/>
            <w:vAlign w:val="center"/>
          </w:tcPr>
          <w:p>
            <w:pPr>
              <w:spacing w:before="40" w:after="40"/>
            </w:pPr>
            <w:r>
              <w:rPr>
                <w:sz w:val="18"/>
              </w:rPr>
              <w:t>Ocean freight — base rate</w:t>
            </w:r>
          </w:p>
        </w:tc>
        <w:tc>
          <w:tcPr>
            <w:tcW w:type="dxa" w:w="2551"/>
            <w:shd w:val="clear" w:color="auto" w:fill="FFFFFF"/>
            <w:vAlign w:val="center"/>
          </w:tcPr>
          <w:p>
            <w:pPr>
              <w:spacing w:before="40" w:after="40"/>
            </w:pPr>
            <w:r>
              <w:rPr>
                <w:sz w:val="18"/>
              </w:rPr>
              <w:t>USD 200–450 per lane metre</w:t>
            </w:r>
          </w:p>
        </w:tc>
        <w:tc>
          <w:tcPr>
            <w:tcW w:type="dxa" w:w="3685"/>
            <w:shd w:val="clear" w:color="auto" w:fill="FFFFFF"/>
            <w:vAlign w:val="center"/>
          </w:tcPr>
          <w:p>
            <w:pPr>
              <w:spacing w:before="40" w:after="40"/>
            </w:pPr>
            <w:r>
              <w:rPr>
                <w:sz w:val="18"/>
              </w:rPr>
              <w:t>General H&amp;H RoRo market intelligence; Tier 4/5</w:t>
            </w:r>
          </w:p>
        </w:tc>
      </w:tr>
      <w:tr>
        <w:tc>
          <w:tcPr>
            <w:tcW w:type="dxa" w:w="3402"/>
            <w:shd w:val="clear" w:color="auto" w:fill="F2F2F2"/>
            <w:vAlign w:val="center"/>
          </w:tcPr>
          <w:p>
            <w:pPr>
              <w:spacing w:before="40" w:after="40"/>
            </w:pPr>
            <w:r>
              <w:rPr>
                <w:sz w:val="18"/>
              </w:rPr>
              <w:t>Ocean freight total (144 LM — length basis)</w:t>
            </w:r>
          </w:p>
        </w:tc>
        <w:tc>
          <w:tcPr>
            <w:tcW w:type="dxa" w:w="2551"/>
            <w:shd w:val="clear" w:color="auto" w:fill="F2F2F2"/>
            <w:vAlign w:val="center"/>
          </w:tcPr>
          <w:p>
            <w:pPr>
              <w:spacing w:before="40" w:after="40"/>
            </w:pPr>
            <w:r>
              <w:rPr>
                <w:sz w:val="18"/>
              </w:rPr>
              <w:t>USD 28,800–64,800</w:t>
            </w:r>
          </w:p>
        </w:tc>
        <w:tc>
          <w:tcPr>
            <w:tcW w:type="dxa" w:w="3685"/>
            <w:shd w:val="clear" w:color="auto" w:fill="F2F2F2"/>
            <w:vAlign w:val="center"/>
          </w:tcPr>
          <w:p>
            <w:pPr>
              <w:spacing w:before="40" w:after="40"/>
            </w:pPr>
            <w:r>
              <w:rPr>
                <w:sz w:val="18"/>
              </w:rPr>
              <w:t>Indicative; requires live quote</w:t>
            </w:r>
          </w:p>
        </w:tc>
      </w:tr>
      <w:tr>
        <w:tc>
          <w:tcPr>
            <w:tcW w:type="dxa" w:w="3402"/>
            <w:shd w:val="clear" w:color="auto" w:fill="FFFFFF"/>
            <w:vAlign w:val="center"/>
          </w:tcPr>
          <w:p>
            <w:pPr>
              <w:spacing w:before="40" w:after="40"/>
            </w:pPr>
            <w:r>
              <w:rPr>
                <w:sz w:val="18"/>
              </w:rPr>
              <w:t>Ocean freight total (216 LM — if 3 m width factor applies)</w:t>
            </w:r>
          </w:p>
        </w:tc>
        <w:tc>
          <w:tcPr>
            <w:tcW w:type="dxa" w:w="2551"/>
            <w:shd w:val="clear" w:color="auto" w:fill="FFFFFF"/>
            <w:vAlign w:val="center"/>
          </w:tcPr>
          <w:p>
            <w:pPr>
              <w:spacing w:before="40" w:after="40"/>
            </w:pPr>
            <w:r>
              <w:rPr>
                <w:sz w:val="18"/>
              </w:rPr>
              <w:t>USD 43,200–97,200</w:t>
            </w:r>
          </w:p>
        </w:tc>
        <w:tc>
          <w:tcPr>
            <w:tcW w:type="dxa" w:w="3685"/>
            <w:shd w:val="clear" w:color="auto" w:fill="FFFFFF"/>
            <w:vAlign w:val="center"/>
          </w:tcPr>
          <w:p>
            <w:pPr>
              <w:spacing w:before="40" w:after="40"/>
            </w:pPr>
            <w:r>
              <w:rPr>
                <w:sz w:val="18"/>
              </w:rPr>
              <w:t>Indicative; carrier-specific</w:t>
            </w:r>
          </w:p>
        </w:tc>
      </w:tr>
      <w:tr>
        <w:tc>
          <w:tcPr>
            <w:tcW w:type="dxa" w:w="3402"/>
            <w:shd w:val="clear" w:color="auto" w:fill="F2F2F2"/>
            <w:vAlign w:val="center"/>
          </w:tcPr>
          <w:p>
            <w:pPr>
              <w:spacing w:before="40" w:after="40"/>
            </w:pPr>
            <w:r>
              <w:rPr>
                <w:sz w:val="18"/>
              </w:rPr>
              <w:t>BAF (Bunker Adjustment Factor)</w:t>
            </w:r>
          </w:p>
        </w:tc>
        <w:tc>
          <w:tcPr>
            <w:tcW w:type="dxa" w:w="2551"/>
            <w:shd w:val="clear" w:color="auto" w:fill="F2F2F2"/>
            <w:vAlign w:val="center"/>
          </w:tcPr>
          <w:p>
            <w:pPr>
              <w:spacing w:before="40" w:after="40"/>
            </w:pPr>
            <w:r>
              <w:rPr>
                <w:sz w:val="18"/>
              </w:rPr>
              <w:t>+15–25% of base ocean rate</w:t>
            </w:r>
          </w:p>
        </w:tc>
        <w:tc>
          <w:tcPr>
            <w:tcW w:type="dxa" w:w="3685"/>
            <w:shd w:val="clear" w:color="auto" w:fill="F2F2F2"/>
            <w:vAlign w:val="center"/>
          </w:tcPr>
          <w:p>
            <w:pPr>
              <w:spacing w:before="40" w:after="40"/>
            </w:pPr>
            <w:r>
              <w:rPr>
                <w:sz w:val="18"/>
              </w:rPr>
              <w:t>Currently elevated; VLSFO USD 461.54/tonne as at Jan 2026 (Maersk Platts index)</w:t>
            </w:r>
          </w:p>
        </w:tc>
      </w:tr>
      <w:tr>
        <w:tc>
          <w:tcPr>
            <w:tcW w:type="dxa" w:w="3402"/>
            <w:shd w:val="clear" w:color="auto" w:fill="FFFFFF"/>
            <w:vAlign w:val="center"/>
          </w:tcPr>
          <w:p>
            <w:pPr>
              <w:spacing w:before="40" w:after="40"/>
            </w:pPr>
            <w:r>
              <w:rPr>
                <w:sz w:val="18"/>
              </w:rPr>
              <w:t>CAF (Currency Adjustment Factor)</w:t>
            </w:r>
          </w:p>
        </w:tc>
        <w:tc>
          <w:tcPr>
            <w:tcW w:type="dxa" w:w="2551"/>
            <w:shd w:val="clear" w:color="auto" w:fill="FFFFFF"/>
            <w:vAlign w:val="center"/>
          </w:tcPr>
          <w:p>
            <w:pPr>
              <w:spacing w:before="40" w:after="40"/>
            </w:pPr>
            <w:r>
              <w:rPr>
                <w:sz w:val="18"/>
              </w:rPr>
              <w:t>+1–5% of base ocean rate</w:t>
            </w:r>
          </w:p>
        </w:tc>
        <w:tc>
          <w:tcPr>
            <w:tcW w:type="dxa" w:w="3685"/>
            <w:shd w:val="clear" w:color="auto" w:fill="FFFFFF"/>
            <w:vAlign w:val="center"/>
          </w:tcPr>
          <w:p>
            <w:pPr>
              <w:spacing w:before="40" w:after="40"/>
            </w:pPr>
            <w:r>
              <w:rPr>
                <w:sz w:val="18"/>
              </w:rPr>
              <w:t>AUD/USD volatility; applies if freight in non-USD denomination</w:t>
            </w:r>
          </w:p>
        </w:tc>
      </w:tr>
      <w:tr>
        <w:tc>
          <w:tcPr>
            <w:tcW w:type="dxa" w:w="3402"/>
            <w:shd w:val="clear" w:color="auto" w:fill="F2F2F2"/>
            <w:vAlign w:val="center"/>
          </w:tcPr>
          <w:p>
            <w:pPr>
              <w:spacing w:before="40" w:after="40"/>
            </w:pPr>
            <w:r>
              <w:rPr>
                <w:sz w:val="18"/>
              </w:rPr>
              <w:t>War risk surcharge — Scenario A only</w:t>
            </w:r>
          </w:p>
        </w:tc>
        <w:tc>
          <w:tcPr>
            <w:tcW w:type="dxa" w:w="2551"/>
            <w:shd w:val="clear" w:color="auto" w:fill="F2F2F2"/>
            <w:vAlign w:val="center"/>
          </w:tcPr>
          <w:p>
            <w:pPr>
              <w:spacing w:before="40" w:after="40"/>
            </w:pPr>
            <w:r>
              <w:rPr>
                <w:sz w:val="18"/>
              </w:rPr>
              <w:t>0.75–3% of cargo declared value</w:t>
            </w:r>
          </w:p>
        </w:tc>
        <w:tc>
          <w:tcPr>
            <w:tcW w:type="dxa" w:w="3685"/>
            <w:shd w:val="clear" w:color="auto" w:fill="F2F2F2"/>
            <w:vAlign w:val="center"/>
          </w:tcPr>
          <w:p>
            <w:pPr>
              <w:spacing w:before="40" w:after="40"/>
            </w:pPr>
            <w:r>
              <w:rPr>
                <w:sz w:val="18"/>
              </w:rPr>
              <w:t>Insurance Journal 23 Jul 2026; active Houthi embargo</w:t>
            </w:r>
          </w:p>
        </w:tc>
      </w:tr>
      <w:tr>
        <w:tc>
          <w:tcPr>
            <w:tcW w:type="dxa" w:w="3402"/>
            <w:shd w:val="clear" w:color="auto" w:fill="FFFFFF"/>
            <w:vAlign w:val="center"/>
          </w:tcPr>
          <w:p>
            <w:pPr>
              <w:spacing w:before="40" w:after="40"/>
            </w:pPr>
            <w:r>
              <w:rPr>
                <w:sz w:val="18"/>
              </w:rPr>
              <w:t>War risk cost impact — Scenario A</w:t>
            </w:r>
          </w:p>
        </w:tc>
        <w:tc>
          <w:tcPr>
            <w:tcW w:type="dxa" w:w="2551"/>
            <w:shd w:val="clear" w:color="auto" w:fill="FFFFFF"/>
            <w:vAlign w:val="center"/>
          </w:tcPr>
          <w:p>
            <w:pPr>
              <w:spacing w:before="40" w:after="40"/>
            </w:pPr>
            <w:r>
              <w:rPr>
                <w:sz w:val="18"/>
              </w:rPr>
              <w:t>USD 8,000–50,000+</w:t>
            </w:r>
          </w:p>
        </w:tc>
        <w:tc>
          <w:tcPr>
            <w:tcW w:type="dxa" w:w="3685"/>
            <w:shd w:val="clear" w:color="auto" w:fill="FFFFFF"/>
            <w:vAlign w:val="center"/>
          </w:tcPr>
          <w:p>
            <w:pPr>
              <w:spacing w:before="40" w:after="40"/>
            </w:pPr>
            <w:r>
              <w:rPr>
                <w:sz w:val="18"/>
              </w:rPr>
              <w:t>Highly variable; depends on declared value</w:t>
            </w:r>
          </w:p>
        </w:tc>
      </w:tr>
      <w:tr>
        <w:tc>
          <w:tcPr>
            <w:tcW w:type="dxa" w:w="3402"/>
            <w:shd w:val="clear" w:color="auto" w:fill="F2F2F2"/>
            <w:vAlign w:val="center"/>
          </w:tcPr>
          <w:p>
            <w:pPr>
              <w:spacing w:before="40" w:after="40"/>
            </w:pPr>
            <w:r>
              <w:rPr>
                <w:sz w:val="18"/>
              </w:rPr>
              <w:t>Terminal Handling Charge — Melbourne (origin)</w:t>
            </w:r>
          </w:p>
        </w:tc>
        <w:tc>
          <w:tcPr>
            <w:tcW w:type="dxa" w:w="2551"/>
            <w:shd w:val="clear" w:color="auto" w:fill="F2F2F2"/>
            <w:vAlign w:val="center"/>
          </w:tcPr>
          <w:p>
            <w:pPr>
              <w:spacing w:before="40" w:after="40"/>
            </w:pPr>
            <w:r>
              <w:rPr>
                <w:sz w:val="18"/>
              </w:rPr>
              <w:t>~AUD 200–400 per unit est.</w:t>
            </w:r>
          </w:p>
        </w:tc>
        <w:tc>
          <w:tcPr>
            <w:tcW w:type="dxa" w:w="3685"/>
            <w:shd w:val="clear" w:color="auto" w:fill="F2F2F2"/>
            <w:vAlign w:val="center"/>
          </w:tcPr>
          <w:p>
            <w:pPr>
              <w:spacing w:before="40" w:after="40"/>
            </w:pPr>
            <w:r>
              <w:rPr>
                <w:sz w:val="18"/>
              </w:rPr>
              <w:t>AAT Webb Dock West; H&amp;H premium over standard auto; Tier 5 estimate</w:t>
            </w:r>
          </w:p>
        </w:tc>
      </w:tr>
      <w:tr>
        <w:tc>
          <w:tcPr>
            <w:tcW w:type="dxa" w:w="3402"/>
            <w:shd w:val="clear" w:color="auto" w:fill="FFFFFF"/>
            <w:vAlign w:val="center"/>
          </w:tcPr>
          <w:p>
            <w:pPr>
              <w:spacing w:before="40" w:after="40"/>
            </w:pPr>
            <w:r>
              <w:rPr>
                <w:sz w:val="18"/>
              </w:rPr>
              <w:t>Terminal Handling Charge — Jeddah (destination)</w:t>
            </w:r>
          </w:p>
        </w:tc>
        <w:tc>
          <w:tcPr>
            <w:tcW w:type="dxa" w:w="2551"/>
            <w:shd w:val="clear" w:color="auto" w:fill="FFFFFF"/>
            <w:vAlign w:val="center"/>
          </w:tcPr>
          <w:p>
            <w:pPr>
              <w:spacing w:before="40" w:after="40"/>
            </w:pPr>
            <w:r>
              <w:rPr>
                <w:sz w:val="18"/>
              </w:rPr>
              <w:t>USD 150–250 per unit est. = USD 1,200–2,000 total</w:t>
            </w:r>
          </w:p>
        </w:tc>
        <w:tc>
          <w:tcPr>
            <w:tcW w:type="dxa" w:w="3685"/>
            <w:shd w:val="clear" w:color="auto" w:fill="FFFFFF"/>
            <w:vAlign w:val="center"/>
          </w:tcPr>
          <w:p>
            <w:pPr>
              <w:spacing w:before="40" w:after="40"/>
            </w:pPr>
            <w:r>
              <w:rPr>
                <w:sz w:val="18"/>
              </w:rPr>
              <w:t>Saudi RoRo port THC; Tier 5 estimate</w:t>
            </w:r>
          </w:p>
        </w:tc>
      </w:tr>
      <w:tr>
        <w:tc>
          <w:tcPr>
            <w:tcW w:type="dxa" w:w="3402"/>
            <w:shd w:val="clear" w:color="auto" w:fill="F2F2F2"/>
            <w:vAlign w:val="center"/>
          </w:tcPr>
          <w:p>
            <w:pPr>
              <w:spacing w:before="40" w:after="40"/>
            </w:pPr>
            <w:r>
              <w:rPr>
                <w:sz w:val="18"/>
              </w:rPr>
              <w:t>Overland — Scenario B (Khorfakkan → Dammam)</w:t>
            </w:r>
          </w:p>
        </w:tc>
        <w:tc>
          <w:tcPr>
            <w:tcW w:type="dxa" w:w="2551"/>
            <w:shd w:val="clear" w:color="auto" w:fill="F2F2F2"/>
            <w:vAlign w:val="center"/>
          </w:tcPr>
          <w:p>
            <w:pPr>
              <w:spacing w:before="40" w:after="40"/>
            </w:pPr>
            <w:r>
              <w:rPr>
                <w:sz w:val="18"/>
              </w:rPr>
              <w:t>USD 3,000–8,000 total (self-drive)</w:t>
            </w:r>
          </w:p>
        </w:tc>
        <w:tc>
          <w:tcPr>
            <w:tcW w:type="dxa" w:w="3685"/>
            <w:shd w:val="clear" w:color="auto" w:fill="F2F2F2"/>
            <w:vAlign w:val="center"/>
          </w:tcPr>
          <w:p>
            <w:pPr>
              <w:spacing w:before="40" w:after="40"/>
            </w:pPr>
            <w:r>
              <w:rPr>
                <w:sz w:val="18"/>
              </w:rPr>
              <w:t>Convoy permits, driver costs; Tier 5 estimate</w:t>
            </w:r>
          </w:p>
        </w:tc>
      </w:tr>
      <w:tr>
        <w:tc>
          <w:tcPr>
            <w:tcW w:type="dxa" w:w="3402"/>
            <w:shd w:val="clear" w:color="auto" w:fill="FFFFFF"/>
            <w:vAlign w:val="center"/>
          </w:tcPr>
          <w:p>
            <w:pPr>
              <w:spacing w:before="40" w:after="40"/>
            </w:pPr>
            <w:r>
              <w:rPr>
                <w:sz w:val="18"/>
              </w:rPr>
              <w:t>Overland — Scenario C (Khorfakkan → Jeddah)</w:t>
            </w:r>
          </w:p>
        </w:tc>
        <w:tc>
          <w:tcPr>
            <w:tcW w:type="dxa" w:w="2551"/>
            <w:shd w:val="clear" w:color="auto" w:fill="FFFFFF"/>
            <w:vAlign w:val="center"/>
          </w:tcPr>
          <w:p>
            <w:pPr>
              <w:spacing w:before="40" w:after="40"/>
            </w:pPr>
            <w:r>
              <w:rPr>
                <w:sz w:val="18"/>
              </w:rPr>
              <w:t>USD 6,000–15,000 total (self-drive)</w:t>
            </w:r>
          </w:p>
        </w:tc>
        <w:tc>
          <w:tcPr>
            <w:tcW w:type="dxa" w:w="3685"/>
            <w:shd w:val="clear" w:color="auto" w:fill="FFFFFF"/>
            <w:vAlign w:val="center"/>
          </w:tcPr>
          <w:p>
            <w:pPr>
              <w:spacing w:before="40" w:after="40"/>
            </w:pPr>
            <w:r>
              <w:rPr>
                <w:sz w:val="18"/>
              </w:rPr>
              <w:t>Longer 2,200 km leg; Tier 5 estimate</w:t>
            </w:r>
          </w:p>
        </w:tc>
      </w:tr>
      <w:tr>
        <w:tc>
          <w:tcPr>
            <w:tcW w:type="dxa" w:w="3402"/>
            <w:shd w:val="clear" w:color="auto" w:fill="F2F2F2"/>
            <w:vAlign w:val="center"/>
          </w:tcPr>
          <w:p>
            <w:pPr>
              <w:spacing w:before="40" w:after="40"/>
            </w:pPr>
            <w:r>
              <w:rPr>
                <w:b/>
                <w:sz w:val="18"/>
              </w:rPr>
              <w:t>TOTAL ALL-IN ESTIMATE — Scenarios B/C (excl. war risk)</w:t>
            </w:r>
          </w:p>
        </w:tc>
        <w:tc>
          <w:tcPr>
            <w:tcW w:type="dxa" w:w="2551"/>
            <w:shd w:val="clear" w:color="auto" w:fill="F2F2F2"/>
            <w:vAlign w:val="center"/>
          </w:tcPr>
          <w:p>
            <w:pPr>
              <w:spacing w:before="40" w:after="40"/>
            </w:pPr>
            <w:r>
              <w:rPr>
                <w:b/>
                <w:sz w:val="18"/>
              </w:rPr>
              <w:t>USD 40,000–100,000</w:t>
            </w:r>
          </w:p>
        </w:tc>
        <w:tc>
          <w:tcPr>
            <w:tcW w:type="dxa" w:w="3685"/>
            <w:shd w:val="clear" w:color="auto" w:fill="F2F2F2"/>
            <w:vAlign w:val="center"/>
          </w:tcPr>
          <w:p>
            <w:pPr>
              <w:spacing w:before="40" w:after="40"/>
            </w:pPr>
            <w:r>
              <w:rPr>
                <w:sz w:val="18"/>
              </w:rPr>
              <w:t>Length-only LM; inc. BAF, port charges, overland; Tier 4/5</w:t>
            </w:r>
          </w:p>
        </w:tc>
      </w:tr>
      <w:tr>
        <w:tc>
          <w:tcPr>
            <w:tcW w:type="dxa" w:w="3402"/>
            <w:shd w:val="clear" w:color="auto" w:fill="FFFFFF"/>
            <w:vAlign w:val="center"/>
          </w:tcPr>
          <w:p>
            <w:pPr>
              <w:spacing w:before="40" w:after="40"/>
            </w:pPr>
            <w:r>
              <w:rPr>
                <w:b/>
                <w:sz w:val="18"/>
              </w:rPr>
              <w:t>TOTAL ALL-IN ESTIMATE — Scenario A</w:t>
            </w:r>
          </w:p>
        </w:tc>
        <w:tc>
          <w:tcPr>
            <w:tcW w:type="dxa" w:w="2551"/>
            <w:shd w:val="clear" w:color="auto" w:fill="FFFFFF"/>
            <w:vAlign w:val="center"/>
          </w:tcPr>
          <w:p>
            <w:pPr>
              <w:spacing w:before="40" w:after="40"/>
            </w:pPr>
            <w:r>
              <w:rPr>
                <w:b/>
                <w:sz w:val="18"/>
              </w:rPr>
              <w:t>USD 48,000–150,000+</w:t>
            </w:r>
          </w:p>
        </w:tc>
        <w:tc>
          <w:tcPr>
            <w:tcW w:type="dxa" w:w="3685"/>
            <w:shd w:val="clear" w:color="auto" w:fill="FFFFFF"/>
            <w:vAlign w:val="center"/>
          </w:tcPr>
          <w:p>
            <w:pPr>
              <w:spacing w:before="40" w:after="40"/>
            </w:pPr>
            <w:r>
              <w:rPr>
                <w:sz w:val="18"/>
              </w:rPr>
              <w:t>Includes war risk surcharge at 3% ceiling; highly variable</w:t>
            </w:r>
          </w:p>
        </w:tc>
      </w:tr>
    </w:tbl>
    <w:p/>
    <w:p>
      <w:pPr>
        <w:spacing w:before="240" w:after="40"/>
      </w:pPr>
      <w:r>
        <w:rPr>
          <w:b/>
          <w:color w:val="1A2B3C"/>
          <w:sz w:val="22"/>
        </w:rPr>
        <w:t>5.1  Lane Metre Width Factor — Critical Clarification</w:t>
      </w:r>
    </w:p>
    <w:p>
      <w:pPr>
        <w:spacing w:before="40" w:after="80"/>
      </w:pPr>
      <w:r>
        <w:rPr>
          <w:b w:val="0"/>
          <w:i w:val="0"/>
          <w:sz w:val="20"/>
        </w:rPr>
        <w:t>Standard lane metre definition: 1 LM = 1 m length × 2 m width. These units are 3 m wide.</w:t>
      </w:r>
    </w:p>
    <w:p>
      <w:pPr>
        <w:pStyle w:val="ListBullet"/>
        <w:spacing w:before="20" w:after="20"/>
        <w:ind w:left="360"/>
      </w:pPr>
      <w:r>
        <w:rPr>
          <w:sz w:val="20"/>
        </w:rPr>
        <w:t>On H&amp;H decks on modern PCTCs (WWL Mark IV/V, Höegh Aurora class, NYK LCTC class), 3 m width commonly fits within a single H&amp;H lane allocation — NO width surcharge on dedicated H&amp;H decks.</w:t>
      </w:r>
    </w:p>
    <w:p>
      <w:pPr>
        <w:pStyle w:val="ListBullet"/>
        <w:spacing w:before="20" w:after="20"/>
        <w:ind w:left="360"/>
      </w:pPr>
      <w:r>
        <w:rPr>
          <w:sz w:val="20"/>
        </w:rPr>
        <w:t>On older vessels with mixed H&amp;H/car-deck configurations, a 1.5× width factor may apply: 8 × 27 LM = 216 LM vs. 8 × 18 LM = 144 LM — a 50% rate increase.</w:t>
      </w:r>
    </w:p>
    <w:p>
      <w:pPr>
        <w:pStyle w:val="ListBullet"/>
        <w:spacing w:before="20" w:after="20"/>
        <w:ind w:left="360"/>
      </w:pPr>
      <w:r>
        <w:rPr>
          <w:sz w:val="20"/>
        </w:rPr>
        <w:t>All RFQs must specify 3 m width explicitly and request written confirmation of H&amp;H deck allocation and whether any width billing factor applies.</w:t>
      </w:r>
    </w:p>
    <w:p>
      <w:r>
        <w:br w:type="page"/>
      </w:r>
    </w:p>
    <w:p>
      <w:pPr>
        <w:spacing w:before="360" w:after="80"/>
        <w:pBdr>
          <w:bottom w:val="single" w:sz="6" w:space="1" w:color="1F497D"/>
        </w:pBdr>
      </w:pPr>
      <w:r>
        <w:rPr>
          <w:b/>
          <w:color w:val="1F497D"/>
          <w:sz w:val="26"/>
        </w:rPr>
        <w:t>PART 6 — DG PRE-BOOKING GATE (REMY)</w:t>
      </w:r>
    </w:p>
    <w:p>
      <w:pPr>
        <w:spacing w:before="240" w:after="40"/>
      </w:pPr>
      <w:r>
        <w:rPr>
          <w:b/>
          <w:color w:val="1A2B3C"/>
          <w:sz w:val="22"/>
        </w:rPr>
        <w:t>6.1  Gate Status: Conditionally Cleared</w:t>
      </w:r>
    </w:p>
    <w:p>
      <w:pPr>
        <w:spacing w:before="40" w:after="80"/>
      </w:pPr>
      <w:r>
        <w:rPr>
          <w:b w:val="0"/>
          <w:i w:val="0"/>
          <w:sz w:val="20"/>
        </w:rPr>
        <w:t>Prepared by: Remy, Compliance Specialist | 27 July 2026 | v2</w:t>
      </w:r>
    </w:p>
    <w:tbl>
      <w:tblPr>
        <w:tblStyle w:val="TableGrid"/>
        <w:tblW w:type="auto" w:w="0"/>
        <w:tblLook w:firstColumn="1" w:firstRow="1" w:lastColumn="0" w:lastRow="0" w:noHBand="0" w:noVBand="1" w:val="04A0"/>
      </w:tblPr>
      <w:tblGrid>
        <w:gridCol w:w="9406"/>
      </w:tblGrid>
      <w:tr>
        <w:tc>
          <w:tcPr>
            <w:tcW w:type="dxa" w:w="9406"/>
            <w:shd w:val="clear" w:color="auto" w:fill="E2EFDA"/>
          </w:tcPr>
          <w:p>
            <w:pPr>
              <w:spacing w:before="80"/>
            </w:pPr>
            <w:r>
              <w:rPr>
                <w:b/>
                <w:color w:val="375E23"/>
                <w:sz w:val="20"/>
              </w:rPr>
              <w:t>DG Gate: CONDITIONALLY CLEARED</w:t>
              <w:br/>
            </w:r>
            <w:r>
              <w:rPr>
                <w:sz w:val="20"/>
              </w:rPr>
              <w:t>UN 1202, Diesel Fuel, Class 3 Flammable Liquid, Packing Group III — confirmed.</w:t>
              <w:br/>
            </w:r>
            <w:r>
              <w:rPr>
                <w:sz w:val="20"/>
              </w:rPr>
              <w:t>Gas-Free Certificates held. Tanks sealed. Framework sound.</w:t>
              <w:br/>
            </w:r>
            <w:r>
              <w:rPr>
                <w:sz w:val="20"/>
              </w:rPr>
              <w:t>Booking may proceed to preparation. Carrier booking must not be lodged until certificate validity vs. vessel ETD is confirmed.</w:t>
              <w:br/>
            </w:r>
          </w:p>
        </w:tc>
      </w:tr>
    </w:tbl>
    <w:p/>
    <w:p>
      <w:pPr>
        <w:spacing w:before="240" w:after="40"/>
      </w:pPr>
      <w:r>
        <w:rPr>
          <w:b/>
          <w:color w:val="1A2B3C"/>
          <w:sz w:val="22"/>
        </w:rPr>
        <w:t>6.2  Key DG Findings</w:t>
      </w:r>
    </w:p>
    <w:p>
      <w:pPr>
        <w:spacing w:before="40" w:after="80"/>
      </w:pPr>
      <w:r>
        <w:rPr>
          <w:b/>
          <w:i w:val="0"/>
          <w:sz w:val="20"/>
        </w:rPr>
        <w:t>Marine pollutant designation — MUST be declared:</w:t>
      </w:r>
    </w:p>
    <w:p>
      <w:pPr>
        <w:spacing w:before="40" w:after="80"/>
      </w:pPr>
      <w:r>
        <w:rPr>
          <w:b w:val="0"/>
          <w:i w:val="0"/>
          <w:sz w:val="20"/>
        </w:rPr>
        <w:t>UN 1202 Diesel fuel carries a marine pollutant designation under the IMDG Code. Even for a degassed tank, the shipper's declaration and carrier DG notification must reference this. The marine pollutant mark is not required on the vehicles given gas-free status, but the declaration must acknowledge it. This is commonly missed on formerly-DG vehicle shipments.</w:t>
      </w:r>
    </w:p>
    <w:p>
      <w:pPr>
        <w:spacing w:before="40" w:after="80"/>
      </w:pPr>
      <w:r>
        <w:rPr>
          <w:b/>
          <w:i w:val="0"/>
          <w:sz w:val="20"/>
        </w:rPr>
        <w:t>Certificate validity timing — HIGHEST RISK ADMINISTRATIVE ITEM:</w:t>
      </w:r>
    </w:p>
    <w:p>
      <w:pPr>
        <w:spacing w:before="40" w:after="80"/>
      </w:pPr>
      <w:r>
        <w:rPr>
          <w:b w:val="0"/>
          <w:i w:val="0"/>
          <w:sz w:val="20"/>
        </w:rPr>
        <w:t>Gas-Free Certificates are valid for 24–48 hours from time of issue (confirm exact validity from each certificate), or until the tank seal is broken — whichever comes first. Tanks are currently sealed. The following will void the seal and require immediate re-testing: opening of any tank hatch, manway, or discharge valve; physical damage breaching tank integrity; any introduction of substance into the tank.</w:t>
      </w:r>
    </w:p>
    <w:p>
      <w:pPr>
        <w:spacing w:before="40" w:after="80"/>
      </w:pPr>
      <w:r>
        <w:rPr>
          <w:b w:val="0"/>
          <w:i w:val="0"/>
          <w:sz w:val="20"/>
        </w:rPr>
        <w:t>Correct sequencing: (1) Confirm vessel ETD and cargo receival cut-off at Port of Melbourne. (2) Arrange Gas-Free Certificate issue within 24–48 hours before units are presented at the port gate. (3) Do not break tank seals before loading.</w:t>
      </w:r>
    </w:p>
    <w:p>
      <w:pPr>
        <w:spacing w:before="240" w:after="40"/>
      </w:pPr>
      <w:r>
        <w:rPr>
          <w:b/>
          <w:color w:val="1A2B3C"/>
          <w:sz w:val="22"/>
        </w:rPr>
        <w:t>6.3  DG Gate — Outstanding Items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454"/>
            <w:shd w:val="clear" w:color="auto" w:fill="1F497D"/>
            <w:vAlign w:val="center"/>
          </w:tcPr>
          <w:p>
            <w:pPr>
              <w:spacing w:before="40" w:after="40"/>
            </w:pPr>
            <w:r>
              <w:rPr>
                <w:b/>
                <w:color w:val="FFFFFF"/>
                <w:sz w:val="18"/>
              </w:rPr>
              <w:t>#</w:t>
            </w:r>
          </w:p>
        </w:tc>
        <w:tc>
          <w:tcPr>
            <w:tcW w:type="dxa" w:w="2268"/>
            <w:shd w:val="clear" w:color="auto" w:fill="1F497D"/>
            <w:vAlign w:val="center"/>
          </w:tcPr>
          <w:p>
            <w:pPr>
              <w:spacing w:before="40" w:after="40"/>
            </w:pPr>
            <w:r>
              <w:rPr>
                <w:b/>
                <w:color w:val="FFFFFF"/>
                <w:sz w:val="18"/>
              </w:rPr>
              <w:t>Item</w:t>
            </w:r>
          </w:p>
        </w:tc>
        <w:tc>
          <w:tcPr>
            <w:tcW w:type="dxa" w:w="1417"/>
            <w:shd w:val="clear" w:color="auto" w:fill="1F497D"/>
            <w:vAlign w:val="center"/>
          </w:tcPr>
          <w:p>
            <w:pPr>
              <w:spacing w:before="40" w:after="40"/>
            </w:pPr>
            <w:r>
              <w:rPr>
                <w:b/>
                <w:color w:val="FFFFFF"/>
                <w:sz w:val="18"/>
              </w:rPr>
              <w:t>Status</w:t>
            </w:r>
          </w:p>
        </w:tc>
        <w:tc>
          <w:tcPr>
            <w:tcW w:type="dxa" w:w="2835"/>
            <w:shd w:val="clear" w:color="auto" w:fill="1F497D"/>
            <w:vAlign w:val="center"/>
          </w:tcPr>
          <w:p>
            <w:pPr>
              <w:spacing w:before="40" w:after="40"/>
            </w:pPr>
            <w:r>
              <w:rPr>
                <w:b/>
                <w:color w:val="FFFFFF"/>
                <w:sz w:val="18"/>
              </w:rPr>
              <w:t>Action Required</w:t>
            </w:r>
          </w:p>
        </w:tc>
        <w:tc>
          <w:tcPr>
            <w:tcW w:type="dxa" w:w="1417"/>
            <w:shd w:val="clear" w:color="auto" w:fill="1F497D"/>
            <w:vAlign w:val="center"/>
          </w:tcPr>
          <w:p>
            <w:pPr>
              <w:spacing w:before="40" w:after="40"/>
            </w:pPr>
            <w:r>
              <w:rPr>
                <w:b/>
                <w:color w:val="FFFFFF"/>
                <w:sz w:val="18"/>
              </w:rPr>
              <w:t>Owner</w:t>
            </w:r>
          </w:p>
        </w:tc>
      </w:tr>
      <w:tr>
        <w:tc>
          <w:tcPr>
            <w:tcW w:type="dxa" w:w="454"/>
            <w:shd w:val="clear" w:color="auto" w:fill="FFFFFF"/>
            <w:vAlign w:val="center"/>
          </w:tcPr>
          <w:p>
            <w:pPr>
              <w:spacing w:before="40" w:after="40"/>
            </w:pPr>
            <w:r>
              <w:rPr>
                <w:sz w:val="18"/>
              </w:rPr>
              <w:t>1</w:t>
            </w:r>
          </w:p>
        </w:tc>
        <w:tc>
          <w:tcPr>
            <w:tcW w:type="dxa" w:w="2268"/>
            <w:shd w:val="clear" w:color="auto" w:fill="FFFFFF"/>
            <w:vAlign w:val="center"/>
          </w:tcPr>
          <w:p>
            <w:pPr>
              <w:spacing w:before="40" w:after="40"/>
            </w:pPr>
            <w:r>
              <w:rPr>
                <w:sz w:val="18"/>
              </w:rPr>
              <w:t>Last product — UN 1202 confirmed</w:t>
            </w:r>
          </w:p>
        </w:tc>
        <w:tc>
          <w:tcPr>
            <w:tcW w:type="dxa" w:w="1417"/>
            <w:shd w:val="clear" w:color="auto" w:fill="FFFFFF"/>
            <w:vAlign w:val="center"/>
          </w:tcPr>
          <w:p>
            <w:pPr>
              <w:spacing w:before="40" w:after="40"/>
            </w:pPr>
            <w:r>
              <w:rPr>
                <w:sz w:val="18"/>
              </w:rPr>
              <w:t>CLEARED</w:t>
            </w:r>
          </w:p>
        </w:tc>
        <w:tc>
          <w:tcPr>
            <w:tcW w:type="dxa" w:w="2835"/>
            <w:shd w:val="clear" w:color="auto" w:fill="FFFFFF"/>
            <w:vAlign w:val="center"/>
          </w:tcPr>
          <w:p>
            <w:pPr>
              <w:spacing w:before="40" w:after="40"/>
            </w:pPr>
            <w:r>
              <w:rPr>
                <w:sz w:val="18"/>
              </w:rPr>
              <w:t>None</w:t>
            </w:r>
          </w:p>
        </w:tc>
        <w:tc>
          <w:tcPr>
            <w:tcW w:type="dxa" w:w="1417"/>
            <w:shd w:val="clear" w:color="auto" w:fill="FFFFFF"/>
            <w:vAlign w:val="center"/>
          </w:tcPr>
          <w:p>
            <w:pPr>
              <w:spacing w:before="40" w:after="40"/>
            </w:pPr>
            <w:r>
              <w:rPr>
                <w:sz w:val="18"/>
              </w:rPr>
              <w:t>—</w:t>
            </w:r>
          </w:p>
        </w:tc>
      </w:tr>
      <w:tr>
        <w:tc>
          <w:tcPr>
            <w:tcW w:type="dxa" w:w="454"/>
            <w:shd w:val="clear" w:color="auto" w:fill="F2F2F2"/>
            <w:vAlign w:val="center"/>
          </w:tcPr>
          <w:p>
            <w:pPr>
              <w:spacing w:before="40" w:after="40"/>
            </w:pPr>
            <w:r>
              <w:rPr>
                <w:sz w:val="18"/>
              </w:rPr>
              <w:t>2</w:t>
            </w:r>
          </w:p>
        </w:tc>
        <w:tc>
          <w:tcPr>
            <w:tcW w:type="dxa" w:w="2268"/>
            <w:shd w:val="clear" w:color="auto" w:fill="F2F2F2"/>
            <w:vAlign w:val="center"/>
          </w:tcPr>
          <w:p>
            <w:pPr>
              <w:spacing w:before="40" w:after="40"/>
            </w:pPr>
            <w:r>
              <w:rPr>
                <w:sz w:val="18"/>
              </w:rPr>
              <w:t>Degassing method assessed</w:t>
            </w:r>
          </w:p>
        </w:tc>
        <w:tc>
          <w:tcPr>
            <w:tcW w:type="dxa" w:w="1417"/>
            <w:shd w:val="clear" w:color="auto" w:fill="F2F2F2"/>
            <w:vAlign w:val="center"/>
          </w:tcPr>
          <w:p>
            <w:pPr>
              <w:spacing w:before="40" w:after="40"/>
            </w:pPr>
            <w:r>
              <w:rPr>
                <w:sz w:val="18"/>
              </w:rPr>
              <w:t>CLEARED</w:t>
            </w:r>
          </w:p>
        </w:tc>
        <w:tc>
          <w:tcPr>
            <w:tcW w:type="dxa" w:w="2835"/>
            <w:shd w:val="clear" w:color="auto" w:fill="F2F2F2"/>
            <w:vAlign w:val="center"/>
          </w:tcPr>
          <w:p>
            <w:pPr>
              <w:spacing w:before="40" w:after="40"/>
            </w:pPr>
            <w:r>
              <w:rPr>
                <w:sz w:val="18"/>
              </w:rPr>
              <w:t>Include wash-and-mop method in carrier DG notification</w:t>
            </w:r>
          </w:p>
        </w:tc>
        <w:tc>
          <w:tcPr>
            <w:tcW w:type="dxa" w:w="1417"/>
            <w:shd w:val="clear" w:color="auto" w:fill="F2F2F2"/>
            <w:vAlign w:val="center"/>
          </w:tcPr>
          <w:p>
            <w:pPr>
              <w:spacing w:before="40" w:after="40"/>
            </w:pPr>
            <w:r>
              <w:rPr>
                <w:sz w:val="18"/>
              </w:rPr>
              <w:t>Soren / freight forwarder</w:t>
            </w:r>
          </w:p>
        </w:tc>
      </w:tr>
      <w:tr>
        <w:tc>
          <w:tcPr>
            <w:tcW w:type="dxa" w:w="454"/>
            <w:shd w:val="clear" w:color="auto" w:fill="FFFFFF"/>
            <w:vAlign w:val="center"/>
          </w:tcPr>
          <w:p>
            <w:pPr>
              <w:spacing w:before="40" w:after="40"/>
            </w:pPr>
            <w:r>
              <w:rPr>
                <w:sz w:val="18"/>
              </w:rPr>
              <w:t>3</w:t>
            </w:r>
          </w:p>
        </w:tc>
        <w:tc>
          <w:tcPr>
            <w:tcW w:type="dxa" w:w="2268"/>
            <w:shd w:val="clear" w:color="auto" w:fill="FFFFFF"/>
            <w:vAlign w:val="center"/>
          </w:tcPr>
          <w:p>
            <w:pPr>
              <w:spacing w:before="40" w:after="40"/>
            </w:pPr>
            <w:r>
              <w:rPr>
                <w:sz w:val="18"/>
              </w:rPr>
              <w:t>Gas-Free Certificate copies obtained by MEO</w:t>
            </w:r>
          </w:p>
        </w:tc>
        <w:tc>
          <w:tcPr>
            <w:tcW w:type="dxa" w:w="1417"/>
            <w:shd w:val="clear" w:color="auto" w:fill="FFFFFF"/>
            <w:vAlign w:val="center"/>
          </w:tcPr>
          <w:p>
            <w:pPr>
              <w:spacing w:before="40" w:after="40"/>
            </w:pPr>
            <w:r>
              <w:rPr>
                <w:sz w:val="18"/>
              </w:rPr>
              <w:t>OUTSTANDING</w:t>
            </w:r>
          </w:p>
        </w:tc>
        <w:tc>
          <w:tcPr>
            <w:tcW w:type="dxa" w:w="2835"/>
            <w:shd w:val="clear" w:color="auto" w:fill="FFFFFF"/>
            <w:vAlign w:val="center"/>
          </w:tcPr>
          <w:p>
            <w:pPr>
              <w:spacing w:before="40" w:after="40"/>
            </w:pPr>
            <w:r>
              <w:rPr>
                <w:sz w:val="18"/>
              </w:rPr>
              <w:t>MEO to obtain copies; confirm issuer, date, LEL readings, validity window</w:t>
            </w:r>
          </w:p>
        </w:tc>
        <w:tc>
          <w:tcPr>
            <w:tcW w:type="dxa" w:w="1417"/>
            <w:shd w:val="clear" w:color="auto" w:fill="FFFFFF"/>
            <w:vAlign w:val="center"/>
          </w:tcPr>
          <w:p>
            <w:pPr>
              <w:spacing w:before="40" w:after="40"/>
            </w:pPr>
            <w:r>
              <w:rPr>
                <w:sz w:val="18"/>
              </w:rPr>
              <w:t>MEO → Owner</w:t>
            </w:r>
          </w:p>
        </w:tc>
      </w:tr>
      <w:tr>
        <w:tc>
          <w:tcPr>
            <w:tcW w:type="dxa" w:w="454"/>
            <w:shd w:val="clear" w:color="auto" w:fill="F2F2F2"/>
            <w:vAlign w:val="center"/>
          </w:tcPr>
          <w:p>
            <w:pPr>
              <w:spacing w:before="40" w:after="40"/>
            </w:pPr>
            <w:r>
              <w:rPr>
                <w:sz w:val="18"/>
              </w:rPr>
              <w:t>4</w:t>
            </w:r>
          </w:p>
        </w:tc>
        <w:tc>
          <w:tcPr>
            <w:tcW w:type="dxa" w:w="2268"/>
            <w:shd w:val="clear" w:color="auto" w:fill="F2F2F2"/>
            <w:vAlign w:val="center"/>
          </w:tcPr>
          <w:p>
            <w:pPr>
              <w:spacing w:before="40" w:after="40"/>
            </w:pPr>
            <w:r>
              <w:rPr>
                <w:sz w:val="18"/>
              </w:rPr>
              <w:t>Certificate validity vs. vessel ETD</w:t>
            </w:r>
          </w:p>
        </w:tc>
        <w:tc>
          <w:tcPr>
            <w:tcW w:type="dxa" w:w="1417"/>
            <w:shd w:val="clear" w:color="auto" w:fill="F2F2F2"/>
            <w:vAlign w:val="center"/>
          </w:tcPr>
          <w:p>
            <w:pPr>
              <w:spacing w:before="40" w:after="40"/>
            </w:pPr>
            <w:r>
              <w:rPr>
                <w:sz w:val="18"/>
              </w:rPr>
              <w:t>OUTSTANDING</w:t>
            </w:r>
          </w:p>
        </w:tc>
        <w:tc>
          <w:tcPr>
            <w:tcW w:type="dxa" w:w="2835"/>
            <w:shd w:val="clear" w:color="auto" w:fill="F2F2F2"/>
            <w:vAlign w:val="center"/>
          </w:tcPr>
          <w:p>
            <w:pPr>
              <w:spacing w:before="40" w:after="40"/>
            </w:pPr>
            <w:r>
              <w:rPr>
                <w:sz w:val="18"/>
              </w:rPr>
              <w:t>Soren to confirm ETD; verify certificates valid at port gate or schedule re-testing</w:t>
            </w:r>
          </w:p>
        </w:tc>
        <w:tc>
          <w:tcPr>
            <w:tcW w:type="dxa" w:w="1417"/>
            <w:shd w:val="clear" w:color="auto" w:fill="F2F2F2"/>
            <w:vAlign w:val="center"/>
          </w:tcPr>
          <w:p>
            <w:pPr>
              <w:spacing w:before="40" w:after="40"/>
            </w:pPr>
            <w:r>
              <w:rPr>
                <w:sz w:val="18"/>
              </w:rPr>
              <w:t>Soren</w:t>
            </w:r>
          </w:p>
        </w:tc>
      </w:tr>
      <w:tr>
        <w:tc>
          <w:tcPr>
            <w:tcW w:type="dxa" w:w="454"/>
            <w:shd w:val="clear" w:color="auto" w:fill="FFFFFF"/>
            <w:vAlign w:val="center"/>
          </w:tcPr>
          <w:p>
            <w:pPr>
              <w:spacing w:before="40" w:after="40"/>
            </w:pPr>
            <w:r>
              <w:rPr>
                <w:sz w:val="18"/>
              </w:rPr>
              <w:t>5</w:t>
            </w:r>
          </w:p>
        </w:tc>
        <w:tc>
          <w:tcPr>
            <w:tcW w:type="dxa" w:w="2268"/>
            <w:shd w:val="clear" w:color="auto" w:fill="FFFFFF"/>
            <w:vAlign w:val="center"/>
          </w:tcPr>
          <w:p>
            <w:pPr>
              <w:spacing w:before="40" w:after="40"/>
            </w:pPr>
            <w:r>
              <w:rPr>
                <w:sz w:val="18"/>
              </w:rPr>
              <w:t>Tank seals — no-break instruction issued</w:t>
            </w:r>
          </w:p>
        </w:tc>
        <w:tc>
          <w:tcPr>
            <w:tcW w:type="dxa" w:w="1417"/>
            <w:shd w:val="clear" w:color="auto" w:fill="FFFFFF"/>
            <w:vAlign w:val="center"/>
          </w:tcPr>
          <w:p>
            <w:pPr>
              <w:spacing w:before="40" w:after="40"/>
            </w:pPr>
            <w:r>
              <w:rPr>
                <w:sz w:val="18"/>
              </w:rPr>
              <w:t>CLEARED</w:t>
            </w:r>
          </w:p>
        </w:tc>
        <w:tc>
          <w:tcPr>
            <w:tcW w:type="dxa" w:w="2835"/>
            <w:shd w:val="clear" w:color="auto" w:fill="FFFFFF"/>
            <w:vAlign w:val="center"/>
          </w:tcPr>
          <w:p>
            <w:pPr>
              <w:spacing w:before="40" w:after="40"/>
            </w:pPr>
            <w:r>
              <w:rPr>
                <w:sz w:val="18"/>
              </w:rPr>
              <w:t>Logistics handler to be briefed — no seal breaks before loading</w:t>
            </w:r>
          </w:p>
        </w:tc>
        <w:tc>
          <w:tcPr>
            <w:tcW w:type="dxa" w:w="1417"/>
            <w:shd w:val="clear" w:color="auto" w:fill="FFFFFF"/>
            <w:vAlign w:val="center"/>
          </w:tcPr>
          <w:p>
            <w:pPr>
              <w:spacing w:before="40" w:after="40"/>
            </w:pPr>
            <w:r>
              <w:rPr>
                <w:sz w:val="18"/>
              </w:rPr>
              <w:t>Soren / handler</w:t>
            </w:r>
          </w:p>
        </w:tc>
      </w:tr>
      <w:tr>
        <w:tc>
          <w:tcPr>
            <w:tcW w:type="dxa" w:w="454"/>
            <w:shd w:val="clear" w:color="auto" w:fill="F2F2F2"/>
            <w:vAlign w:val="center"/>
          </w:tcPr>
          <w:p>
            <w:pPr>
              <w:spacing w:before="40" w:after="40"/>
            </w:pPr>
            <w:r>
              <w:rPr>
                <w:sz w:val="18"/>
              </w:rPr>
              <w:t>6</w:t>
            </w:r>
          </w:p>
        </w:tc>
        <w:tc>
          <w:tcPr>
            <w:tcW w:type="dxa" w:w="2268"/>
            <w:shd w:val="clear" w:color="auto" w:fill="F2F2F2"/>
            <w:vAlign w:val="center"/>
          </w:tcPr>
          <w:p>
            <w:pPr>
              <w:spacing w:before="40" w:after="40"/>
            </w:pPr>
            <w:r>
              <w:rPr>
                <w:sz w:val="18"/>
              </w:rPr>
              <w:t>Marine pollutant flag in declaration</w:t>
            </w:r>
          </w:p>
        </w:tc>
        <w:tc>
          <w:tcPr>
            <w:tcW w:type="dxa" w:w="1417"/>
            <w:shd w:val="clear" w:color="auto" w:fill="F2F2F2"/>
            <w:vAlign w:val="center"/>
          </w:tcPr>
          <w:p>
            <w:pPr>
              <w:spacing w:before="40" w:after="40"/>
            </w:pPr>
            <w:r>
              <w:rPr>
                <w:sz w:val="18"/>
              </w:rPr>
              <w:t>OUTSTANDING</w:t>
            </w:r>
          </w:p>
        </w:tc>
        <w:tc>
          <w:tcPr>
            <w:tcW w:type="dxa" w:w="2835"/>
            <w:shd w:val="clear" w:color="auto" w:fill="F2F2F2"/>
            <w:vAlign w:val="center"/>
          </w:tcPr>
          <w:p>
            <w:pPr>
              <w:spacing w:before="40" w:after="40"/>
            </w:pPr>
            <w:r>
              <w:rPr>
                <w:sz w:val="18"/>
              </w:rPr>
              <w:t>Freight forwarder to include UN 1202 marine pollutant designation in shipper's declaration</w:t>
            </w:r>
          </w:p>
        </w:tc>
        <w:tc>
          <w:tcPr>
            <w:tcW w:type="dxa" w:w="1417"/>
            <w:shd w:val="clear" w:color="auto" w:fill="F2F2F2"/>
            <w:vAlign w:val="center"/>
          </w:tcPr>
          <w:p>
            <w:pPr>
              <w:spacing w:before="40" w:after="40"/>
            </w:pPr>
            <w:r>
              <w:rPr>
                <w:sz w:val="18"/>
              </w:rPr>
              <w:t>Freight forwarder</w:t>
            </w:r>
          </w:p>
        </w:tc>
      </w:tr>
      <w:tr>
        <w:tc>
          <w:tcPr>
            <w:tcW w:type="dxa" w:w="454"/>
            <w:shd w:val="clear" w:color="auto" w:fill="FFFFFF"/>
            <w:vAlign w:val="center"/>
          </w:tcPr>
          <w:p>
            <w:pPr>
              <w:spacing w:before="40" w:after="40"/>
            </w:pPr>
            <w:r>
              <w:rPr>
                <w:sz w:val="18"/>
              </w:rPr>
              <w:t>7</w:t>
            </w:r>
          </w:p>
        </w:tc>
        <w:tc>
          <w:tcPr>
            <w:tcW w:type="dxa" w:w="2268"/>
            <w:shd w:val="clear" w:color="auto" w:fill="FFFFFF"/>
            <w:vAlign w:val="center"/>
          </w:tcPr>
          <w:p>
            <w:pPr>
              <w:spacing w:before="40" w:after="40"/>
            </w:pPr>
            <w:r>
              <w:rPr>
                <w:sz w:val="18"/>
              </w:rPr>
              <w:t>Carrier DG notification package lodged</w:t>
            </w:r>
          </w:p>
        </w:tc>
        <w:tc>
          <w:tcPr>
            <w:tcW w:type="dxa" w:w="1417"/>
            <w:shd w:val="clear" w:color="auto" w:fill="FFFFFF"/>
            <w:vAlign w:val="center"/>
          </w:tcPr>
          <w:p>
            <w:pPr>
              <w:spacing w:before="40" w:after="40"/>
            </w:pPr>
            <w:r>
              <w:rPr>
                <w:sz w:val="18"/>
              </w:rPr>
              <w:t>OUTSTANDING</w:t>
            </w:r>
          </w:p>
        </w:tc>
        <w:tc>
          <w:tcPr>
            <w:tcW w:type="dxa" w:w="2835"/>
            <w:shd w:val="clear" w:color="auto" w:fill="FFFFFF"/>
            <w:vAlign w:val="center"/>
          </w:tcPr>
          <w:p>
            <w:pPr>
              <w:spacing w:before="40" w:after="40"/>
            </w:pPr>
            <w:r>
              <w:rPr>
                <w:sz w:val="18"/>
              </w:rPr>
              <w:t>Soren to lodge with carrier DG officer once item 3 confirmed</w:t>
            </w:r>
          </w:p>
        </w:tc>
        <w:tc>
          <w:tcPr>
            <w:tcW w:type="dxa" w:w="1417"/>
            <w:shd w:val="clear" w:color="auto" w:fill="FFFFFF"/>
            <w:vAlign w:val="center"/>
          </w:tcPr>
          <w:p>
            <w:pPr>
              <w:spacing w:before="40" w:after="40"/>
            </w:pPr>
            <w:r>
              <w:rPr>
                <w:sz w:val="18"/>
              </w:rPr>
              <w:t>Soren</w:t>
            </w:r>
          </w:p>
        </w:tc>
      </w:tr>
      <w:tr>
        <w:tc>
          <w:tcPr>
            <w:tcW w:type="dxa" w:w="454"/>
            <w:shd w:val="clear" w:color="auto" w:fill="F2F2F2"/>
            <w:vAlign w:val="center"/>
          </w:tcPr>
          <w:p>
            <w:pPr>
              <w:spacing w:before="40" w:after="40"/>
            </w:pPr>
            <w:r>
              <w:rPr>
                <w:sz w:val="18"/>
              </w:rPr>
              <w:t>8</w:t>
            </w:r>
          </w:p>
        </w:tc>
        <w:tc>
          <w:tcPr>
            <w:tcW w:type="dxa" w:w="2268"/>
            <w:shd w:val="clear" w:color="auto" w:fill="F2F2F2"/>
            <w:vAlign w:val="center"/>
          </w:tcPr>
          <w:p>
            <w:pPr>
              <w:spacing w:before="40" w:after="40"/>
            </w:pPr>
            <w:r>
              <w:rPr>
                <w:sz w:val="18"/>
              </w:rPr>
              <w:t>DAFF biosecurity</w:t>
            </w:r>
          </w:p>
        </w:tc>
        <w:tc>
          <w:tcPr>
            <w:tcW w:type="dxa" w:w="1417"/>
            <w:shd w:val="clear" w:color="auto" w:fill="F2F2F2"/>
            <w:vAlign w:val="center"/>
          </w:tcPr>
          <w:p>
            <w:pPr>
              <w:spacing w:before="40" w:after="40"/>
            </w:pPr>
            <w:r>
              <w:rPr>
                <w:sz w:val="18"/>
              </w:rPr>
              <w:t>LOW RISK — NEW BUILDS</w:t>
            </w:r>
          </w:p>
        </w:tc>
        <w:tc>
          <w:tcPr>
            <w:tcW w:type="dxa" w:w="2835"/>
            <w:shd w:val="clear" w:color="auto" w:fill="F2F2F2"/>
            <w:vAlign w:val="center"/>
          </w:tcPr>
          <w:p>
            <w:pPr>
              <w:spacing w:before="40" w:after="40"/>
            </w:pPr>
            <w:r>
              <w:rPr>
                <w:sz w:val="18"/>
              </w:rPr>
              <w:t>Standard export lodgement by freight forwarder. Brand new vehicles — DAFF inspection unlikely.</w:t>
            </w:r>
          </w:p>
        </w:tc>
        <w:tc>
          <w:tcPr>
            <w:tcW w:type="dxa" w:w="1417"/>
            <w:shd w:val="clear" w:color="auto" w:fill="F2F2F2"/>
            <w:vAlign w:val="center"/>
          </w:tcPr>
          <w:p>
            <w:pPr>
              <w:spacing w:before="40" w:after="40"/>
            </w:pPr>
            <w:r>
              <w:rPr>
                <w:sz w:val="18"/>
              </w:rPr>
              <w:t>Freight forwarder</w:t>
            </w:r>
          </w:p>
        </w:tc>
      </w:tr>
    </w:tbl>
    <w:p/>
    <w:p>
      <w:r>
        <w:br w:type="page"/>
      </w:r>
    </w:p>
    <w:p>
      <w:pPr>
        <w:spacing w:before="360" w:after="80"/>
        <w:pBdr>
          <w:bottom w:val="single" w:sz="6" w:space="1" w:color="1F497D"/>
        </w:pBdr>
      </w:pPr>
      <w:r>
        <w:rPr>
          <w:b/>
          <w:color w:val="1F497D"/>
          <w:sz w:val="26"/>
        </w:rPr>
        <w:t>PART 7 — SAUDI ARABIA IMPORT REQUIREMENTS</w:t>
      </w:r>
    </w:p>
    <w:p>
      <w:pPr>
        <w:spacing w:before="240" w:after="40"/>
      </w:pPr>
      <w:r>
        <w:rPr>
          <w:b/>
          <w:color w:val="1A2B3C"/>
          <w:sz w:val="22"/>
        </w:rPr>
        <w:t>7.1  HS Codes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1F497D"/>
            <w:vAlign w:val="center"/>
          </w:tcPr>
          <w:p>
            <w:pPr>
              <w:spacing w:before="40" w:after="40"/>
            </w:pPr>
            <w:r>
              <w:rPr>
                <w:b/>
                <w:color w:val="FFFFFF"/>
                <w:sz w:val="18"/>
              </w:rPr>
              <w:t>Component</w:t>
            </w:r>
          </w:p>
        </w:tc>
        <w:tc>
          <w:tcPr>
            <w:tcW w:type="dxa" w:w="1417"/>
            <w:shd w:val="clear" w:color="auto" w:fill="1F497D"/>
            <w:vAlign w:val="center"/>
          </w:tcPr>
          <w:p>
            <w:pPr>
              <w:spacing w:before="40" w:after="40"/>
            </w:pPr>
            <w:r>
              <w:rPr>
                <w:b/>
                <w:color w:val="FFFFFF"/>
                <w:sz w:val="18"/>
              </w:rPr>
              <w:t>HS Code</w:t>
            </w:r>
          </w:p>
        </w:tc>
        <w:tc>
          <w:tcPr>
            <w:tcW w:type="dxa" w:w="2835"/>
            <w:shd w:val="clear" w:color="auto" w:fill="1F497D"/>
            <w:vAlign w:val="center"/>
          </w:tcPr>
          <w:p>
            <w:pPr>
              <w:spacing w:before="40" w:after="40"/>
            </w:pPr>
            <w:r>
              <w:rPr>
                <w:b/>
                <w:color w:val="FFFFFF"/>
                <w:sz w:val="18"/>
              </w:rPr>
              <w:t>Description</w:t>
            </w:r>
          </w:p>
        </w:tc>
        <w:tc>
          <w:tcPr>
            <w:tcW w:type="dxa" w:w="1984"/>
            <w:shd w:val="clear" w:color="auto" w:fill="1F497D"/>
            <w:vAlign w:val="center"/>
          </w:tcPr>
          <w:p>
            <w:pPr>
              <w:spacing w:before="40" w:after="40"/>
            </w:pPr>
            <w:r>
              <w:rPr>
                <w:b/>
                <w:color w:val="FFFFFF"/>
                <w:sz w:val="18"/>
              </w:rPr>
              <w:t>Indicative GCC Duty</w:t>
            </w:r>
          </w:p>
        </w:tc>
      </w:tr>
      <w:tr>
        <w:tc>
          <w:tcPr>
            <w:tcW w:type="dxa" w:w="2268"/>
            <w:shd w:val="clear" w:color="auto" w:fill="FFFFFF"/>
            <w:vAlign w:val="center"/>
          </w:tcPr>
          <w:p>
            <w:pPr>
              <w:spacing w:before="40" w:after="40"/>
            </w:pPr>
            <w:r>
              <w:rPr>
                <w:sz w:val="18"/>
              </w:rPr>
              <w:t>Volvo prime mover (road tractor for semi-trailer)</w:t>
            </w:r>
          </w:p>
        </w:tc>
        <w:tc>
          <w:tcPr>
            <w:tcW w:type="dxa" w:w="1417"/>
            <w:shd w:val="clear" w:color="auto" w:fill="FFFFFF"/>
            <w:vAlign w:val="center"/>
          </w:tcPr>
          <w:p>
            <w:pPr>
              <w:spacing w:before="40" w:after="40"/>
            </w:pPr>
            <w:r>
              <w:rPr>
                <w:sz w:val="18"/>
              </w:rPr>
              <w:t>8701.20</w:t>
            </w:r>
          </w:p>
        </w:tc>
        <w:tc>
          <w:tcPr>
            <w:tcW w:type="dxa" w:w="2835"/>
            <w:shd w:val="clear" w:color="auto" w:fill="FFFFFF"/>
            <w:vAlign w:val="center"/>
          </w:tcPr>
          <w:p>
            <w:pPr>
              <w:spacing w:before="40" w:after="40"/>
            </w:pPr>
            <w:r>
              <w:rPr>
                <w:sz w:val="18"/>
              </w:rPr>
              <w:t>Road tractors for semi-trailers</w:t>
            </w:r>
          </w:p>
        </w:tc>
        <w:tc>
          <w:tcPr>
            <w:tcW w:type="dxa" w:w="1984"/>
            <w:shd w:val="clear" w:color="auto" w:fill="FFFFFF"/>
            <w:vAlign w:val="center"/>
          </w:tcPr>
          <w:p>
            <w:pPr>
              <w:spacing w:before="40" w:after="40"/>
            </w:pPr>
            <w:r>
              <w:rPr>
                <w:sz w:val="18"/>
              </w:rPr>
              <w:t>5% (indicative — verify on ZATCA FASAH)</w:t>
            </w:r>
          </w:p>
        </w:tc>
      </w:tr>
      <w:tr>
        <w:tc>
          <w:tcPr>
            <w:tcW w:type="dxa" w:w="2268"/>
            <w:shd w:val="clear" w:color="auto" w:fill="F2F2F2"/>
            <w:vAlign w:val="center"/>
          </w:tcPr>
          <w:p>
            <w:pPr>
              <w:spacing w:before="40" w:after="40"/>
            </w:pPr>
            <w:r>
              <w:rPr>
                <w:sz w:val="18"/>
              </w:rPr>
              <w:t>Fuel tanker semi-trailer</w:t>
            </w:r>
          </w:p>
        </w:tc>
        <w:tc>
          <w:tcPr>
            <w:tcW w:type="dxa" w:w="1417"/>
            <w:shd w:val="clear" w:color="auto" w:fill="F2F2F2"/>
            <w:vAlign w:val="center"/>
          </w:tcPr>
          <w:p>
            <w:pPr>
              <w:spacing w:before="40" w:after="40"/>
            </w:pPr>
            <w:r>
              <w:rPr>
                <w:sz w:val="18"/>
              </w:rPr>
              <w:t>8716.39 or 8716.40</w:t>
            </w:r>
          </w:p>
        </w:tc>
        <w:tc>
          <w:tcPr>
            <w:tcW w:type="dxa" w:w="2835"/>
            <w:shd w:val="clear" w:color="auto" w:fill="F2F2F2"/>
            <w:vAlign w:val="center"/>
          </w:tcPr>
          <w:p>
            <w:pPr>
              <w:spacing w:before="40" w:after="40"/>
            </w:pPr>
            <w:r>
              <w:rPr>
                <w:sz w:val="18"/>
              </w:rPr>
              <w:t>Semi-trailers / tank semi-trailers for transport of goods</w:t>
            </w:r>
          </w:p>
        </w:tc>
        <w:tc>
          <w:tcPr>
            <w:tcW w:type="dxa" w:w="1984"/>
            <w:shd w:val="clear" w:color="auto" w:fill="F2F2F2"/>
            <w:vAlign w:val="center"/>
          </w:tcPr>
          <w:p>
            <w:pPr>
              <w:spacing w:before="40" w:after="40"/>
            </w:pPr>
            <w:r>
              <w:rPr>
                <w:sz w:val="18"/>
              </w:rPr>
              <w:t>5–12% depending on sub-classification — verify on ZATCA</w:t>
            </w:r>
          </w:p>
        </w:tc>
      </w:tr>
      <w:tr>
        <w:tc>
          <w:tcPr>
            <w:tcW w:type="dxa" w:w="2268"/>
            <w:shd w:val="clear" w:color="auto" w:fill="FFFFFF"/>
            <w:vAlign w:val="center"/>
          </w:tcPr>
          <w:p>
            <w:pPr>
              <w:spacing w:before="40" w:after="40"/>
            </w:pPr>
            <w:r>
              <w:rPr>
                <w:sz w:val="18"/>
              </w:rPr>
              <w:t>If declared as combined unit</w:t>
            </w:r>
          </w:p>
        </w:tc>
        <w:tc>
          <w:tcPr>
            <w:tcW w:type="dxa" w:w="1417"/>
            <w:shd w:val="clear" w:color="auto" w:fill="FFFFFF"/>
            <w:vAlign w:val="center"/>
          </w:tcPr>
          <w:p>
            <w:pPr>
              <w:spacing w:before="40" w:after="40"/>
            </w:pPr>
            <w:r>
              <w:rPr>
                <w:sz w:val="18"/>
              </w:rPr>
              <w:t>8701 + 8716</w:t>
            </w:r>
          </w:p>
        </w:tc>
        <w:tc>
          <w:tcPr>
            <w:tcW w:type="dxa" w:w="2835"/>
            <w:shd w:val="clear" w:color="auto" w:fill="FFFFFF"/>
            <w:vAlign w:val="center"/>
          </w:tcPr>
          <w:p>
            <w:pPr>
              <w:spacing w:before="40" w:after="40"/>
            </w:pPr>
            <w:r>
              <w:rPr>
                <w:sz w:val="18"/>
              </w:rPr>
              <w:t>Customs will typically assess as two separate commodity lines</w:t>
            </w:r>
          </w:p>
        </w:tc>
        <w:tc>
          <w:tcPr>
            <w:tcW w:type="dxa" w:w="1984"/>
            <w:shd w:val="clear" w:color="auto" w:fill="FFFFFF"/>
            <w:vAlign w:val="center"/>
          </w:tcPr>
          <w:p>
            <w:pPr>
              <w:spacing w:before="40" w:after="40"/>
            </w:pPr>
            <w:r>
              <w:rPr>
                <w:sz w:val="18"/>
              </w:rPr>
              <w:t>Duty per component</w:t>
            </w:r>
          </w:p>
        </w:tc>
      </w:tr>
    </w:tbl>
    <w:p/>
    <w:p>
      <w:pPr>
        <w:spacing w:before="40" w:after="80"/>
      </w:pPr>
      <w:r>
        <w:rPr>
          <w:b w:val="0"/>
          <w:i/>
          <w:sz w:val="20"/>
        </w:rPr>
        <w:t>Note: Saudi Arabia updated SABER Customs Tariff Codes effective 1 January 2026. Updated codes must be verified in the SABER platform before submission.</w:t>
      </w:r>
    </w:p>
    <w:p>
      <w:pPr>
        <w:spacing w:before="240" w:after="40"/>
      </w:pPr>
      <w:r>
        <w:rPr>
          <w:b/>
          <w:color w:val="1A2B3C"/>
          <w:sz w:val="22"/>
        </w:rPr>
        <w:t>7.2  SASO / SABER — Per-Consignment Certificate Required</w:t>
      </w:r>
    </w:p>
    <w:tbl>
      <w:tblPr>
        <w:tblStyle w:val="TableGrid"/>
        <w:tblW w:type="auto" w:w="0"/>
        <w:tblLook w:firstColumn="1" w:firstRow="1" w:lastColumn="0" w:lastRow="0" w:noHBand="0" w:noVBand="1" w:val="04A0"/>
      </w:tblPr>
      <w:tblGrid>
        <w:gridCol w:w="9406"/>
      </w:tblGrid>
      <w:tr>
        <w:tc>
          <w:tcPr>
            <w:tcW w:type="dxa" w:w="9406"/>
            <w:shd w:val="clear" w:color="auto" w:fill="FFF3CC"/>
          </w:tcPr>
          <w:p>
            <w:pPr>
              <w:spacing w:before="80"/>
            </w:pPr>
            <w:r>
              <w:rPr>
                <w:b/>
                <w:color w:val="1A2B3C"/>
                <w:sz w:val="20"/>
              </w:rPr>
              <w:t>SASO type approval confirmed — but a per-consignment SCoC is also required</w:t>
              <w:br/>
            </w:r>
            <w:r>
              <w:rPr>
                <w:sz w:val="20"/>
              </w:rPr>
              <w:t>The owner holds SASO type approval (Product Certificate of Conformity — PCoC). This is confirmed and is not a gate item.</w:t>
              <w:br/>
            </w:r>
            <w:r>
              <w:rPr>
                <w:sz w:val="20"/>
              </w:rPr>
              <w:t>HOWEVER: A Shipment Certificate of Conformity (SCoC) must also be registered in SABER for each consignment before the vessel departs Melbourne.</w:t>
              <w:br/>
            </w:r>
            <w:r>
              <w:rPr>
                <w:sz w:val="20"/>
              </w:rPr>
              <w:t>Letters of Undertaking are no longer accepted as substitutes (abolished January 2025). Certificates obtained after arrival = regulatory non-compliance and risk re-export.</w:t>
              <w:br/>
            </w:r>
            <w:r>
              <w:rPr>
                <w:sz w:val="20"/>
              </w:rPr>
              <w:t>Action: Confirm SCoC is obtained and registered in SABER for this specific shipment before booking is finalised.</w:t>
              <w:br/>
            </w:r>
          </w:p>
        </w:tc>
      </w:tr>
    </w:tbl>
    <w:p/>
    <w:p>
      <w:pPr>
        <w:spacing w:before="240" w:after="40"/>
      </w:pPr>
      <w:r>
        <w:rPr>
          <w:b/>
          <w:color w:val="1A2B3C"/>
          <w:sz w:val="22"/>
        </w:rPr>
        <w:t>7.3  5-Year Rule — HARD GATE</w:t>
      </w:r>
    </w:p>
    <w:tbl>
      <w:tblPr>
        <w:tblStyle w:val="TableGrid"/>
        <w:tblW w:type="auto" w:w="0"/>
        <w:tblLook w:firstColumn="1" w:firstRow="1" w:lastColumn="0" w:lastRow="0" w:noHBand="0" w:noVBand="1" w:val="04A0"/>
      </w:tblPr>
      <w:tblGrid>
        <w:gridCol w:w="9406"/>
      </w:tblGrid>
      <w:tr>
        <w:tc>
          <w:tcPr>
            <w:tcW w:type="dxa" w:w="9406"/>
            <w:shd w:val="clear" w:color="auto" w:fill="FCE4D6"/>
          </w:tcPr>
          <w:p>
            <w:pPr>
              <w:spacing w:before="80"/>
            </w:pPr>
            <w:r>
              <w:rPr>
                <w:b/>
                <w:color w:val="C00000"/>
                <w:sz w:val="20"/>
              </w:rPr>
              <w:t>⚠  CRITICAL — Confirm year of manufacture before booking</w:t>
              <w:br/>
            </w:r>
            <w:r>
              <w:rPr>
                <w:sz w:val="20"/>
              </w:rPr>
              <w:t>Saudi Arabia applies a 5-year age restriction to heavy transport vehicles exceeding 3.5 tonnes GVW (including semi-trailers).</w:t>
              <w:br/>
            </w:r>
            <w:r>
              <w:rPr>
                <w:sz w:val="20"/>
              </w:rPr>
              <w:t>Age is calculated from 1 January of the year of manufacture.</w:t>
              <w:br/>
            </w:r>
            <w:r>
              <w:rPr>
                <w:sz w:val="20"/>
              </w:rPr>
              <w:t>For 2026 imports: vehicles must have been manufactured in 2021 or later.</w:t>
              <w:br/>
            </w:r>
            <w:r>
              <w:rPr>
                <w:sz w:val="20"/>
              </w:rPr>
              <w:t>These units at 20,000 kg GVM are well inside the rule threshold. If any unit was built before 2021, it CANNOT be imported under standard Saudi customs rules.</w:t>
              <w:br/>
            </w:r>
            <w:r>
              <w:rPr>
                <w:sz w:val="20"/>
              </w:rPr>
              <w:t>Owner action required: Confirm year of manufacture for all 8 prime movers and all 8 tanker trailers before advancing bookings.</w:t>
              <w:br/>
            </w:r>
          </w:p>
        </w:tc>
      </w:tr>
    </w:tbl>
    <w:p/>
    <w:p>
      <w:r>
        <w:br w:type="page"/>
      </w:r>
    </w:p>
    <w:p>
      <w:pPr>
        <w:spacing w:before="360" w:after="80"/>
        <w:pBdr>
          <w:bottom w:val="single" w:sz="6" w:space="1" w:color="1F497D"/>
        </w:pBdr>
      </w:pPr>
      <w:r>
        <w:rPr>
          <w:b/>
          <w:color w:val="1F497D"/>
          <w:sz w:val="26"/>
        </w:rPr>
        <w:t>PART 8 — ACTIONS REQUIRED BEFORE BOOKING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val="clear" w:color="auto" w:fill="1F497D"/>
            <w:vAlign w:val="center"/>
          </w:tcPr>
          <w:p>
            <w:pPr>
              <w:spacing w:before="40" w:after="40"/>
            </w:pPr>
            <w:r>
              <w:rPr>
                <w:b/>
                <w:color w:val="FFFFFF"/>
                <w:sz w:val="18"/>
              </w:rPr>
              <w:t>Priority</w:t>
            </w:r>
          </w:p>
        </w:tc>
        <w:tc>
          <w:tcPr>
            <w:tcW w:type="dxa" w:w="3969"/>
            <w:shd w:val="clear" w:color="auto" w:fill="1F497D"/>
            <w:vAlign w:val="center"/>
          </w:tcPr>
          <w:p>
            <w:pPr>
              <w:spacing w:before="40" w:after="40"/>
            </w:pPr>
            <w:r>
              <w:rPr>
                <w:b/>
                <w:color w:val="FFFFFF"/>
                <w:sz w:val="18"/>
              </w:rPr>
              <w:t>Action</w:t>
            </w:r>
          </w:p>
        </w:tc>
        <w:tc>
          <w:tcPr>
            <w:tcW w:type="dxa" w:w="1701"/>
            <w:shd w:val="clear" w:color="auto" w:fill="1F497D"/>
            <w:vAlign w:val="center"/>
          </w:tcPr>
          <w:p>
            <w:pPr>
              <w:spacing w:before="40" w:after="40"/>
            </w:pPr>
            <w:r>
              <w:rPr>
                <w:b/>
                <w:color w:val="FFFFFF"/>
                <w:sz w:val="18"/>
              </w:rPr>
              <w:t>Owner</w:t>
            </w:r>
          </w:p>
        </w:tc>
        <w:tc>
          <w:tcPr>
            <w:tcW w:type="dxa" w:w="2268"/>
            <w:shd w:val="clear" w:color="auto" w:fill="1F497D"/>
            <w:vAlign w:val="center"/>
          </w:tcPr>
          <w:p>
            <w:pPr>
              <w:spacing w:before="40" w:after="40"/>
            </w:pPr>
            <w:r>
              <w:rPr>
                <w:b/>
                <w:color w:val="FFFFFF"/>
                <w:sz w:val="18"/>
              </w:rPr>
              <w:t>Gate Impact</w:t>
            </w:r>
          </w:p>
        </w:tc>
      </w:tr>
      <w:tr>
        <w:tc>
          <w:tcPr>
            <w:tcW w:type="dxa" w:w="1701"/>
            <w:shd w:val="clear" w:color="auto" w:fill="FFFFFF"/>
            <w:vAlign w:val="center"/>
          </w:tcPr>
          <w:p>
            <w:pPr>
              <w:spacing w:before="40" w:after="40"/>
            </w:pPr>
            <w:r>
              <w:rPr>
                <w:sz w:val="18"/>
              </w:rPr>
              <w:t>1 — HARD GATE</w:t>
            </w:r>
          </w:p>
        </w:tc>
        <w:tc>
          <w:tcPr>
            <w:tcW w:type="dxa" w:w="3969"/>
            <w:shd w:val="clear" w:color="auto" w:fill="FFFFFF"/>
            <w:vAlign w:val="center"/>
          </w:tcPr>
          <w:p>
            <w:pPr>
              <w:spacing w:before="40" w:after="40"/>
            </w:pPr>
            <w:r>
              <w:rPr>
                <w:sz w:val="18"/>
              </w:rPr>
              <w:t>Confirm year of manufacture for all 8 prime movers and 8 tanker trailers</w:t>
            </w:r>
          </w:p>
        </w:tc>
        <w:tc>
          <w:tcPr>
            <w:tcW w:type="dxa" w:w="1701"/>
            <w:shd w:val="clear" w:color="auto" w:fill="FFFFFF"/>
            <w:vAlign w:val="center"/>
          </w:tcPr>
          <w:p>
            <w:pPr>
              <w:spacing w:before="40" w:after="40"/>
            </w:pPr>
            <w:r>
              <w:rPr>
                <w:sz w:val="18"/>
              </w:rPr>
              <w:t>Owner → MEO</w:t>
            </w:r>
          </w:p>
        </w:tc>
        <w:tc>
          <w:tcPr>
            <w:tcW w:type="dxa" w:w="2268"/>
            <w:shd w:val="clear" w:color="auto" w:fill="FFFFFF"/>
            <w:vAlign w:val="center"/>
          </w:tcPr>
          <w:p>
            <w:pPr>
              <w:spacing w:before="40" w:after="40"/>
            </w:pPr>
            <w:r>
              <w:rPr>
                <w:sz w:val="18"/>
              </w:rPr>
              <w:t>5-year rule — blocks Saudi import if pre-2021</w:t>
            </w:r>
          </w:p>
        </w:tc>
      </w:tr>
      <w:tr>
        <w:tc>
          <w:tcPr>
            <w:tcW w:type="dxa" w:w="1701"/>
            <w:shd w:val="clear" w:color="auto" w:fill="F2F2F2"/>
            <w:vAlign w:val="center"/>
          </w:tcPr>
          <w:p>
            <w:pPr>
              <w:spacing w:before="40" w:after="40"/>
            </w:pPr>
            <w:r>
              <w:rPr>
                <w:sz w:val="18"/>
              </w:rPr>
              <w:t>1 — HARD GATE</w:t>
            </w:r>
          </w:p>
        </w:tc>
        <w:tc>
          <w:tcPr>
            <w:tcW w:type="dxa" w:w="3969"/>
            <w:shd w:val="clear" w:color="auto" w:fill="F2F2F2"/>
            <w:vAlign w:val="center"/>
          </w:tcPr>
          <w:p>
            <w:pPr>
              <w:spacing w:before="40" w:after="40"/>
            </w:pPr>
            <w:r>
              <w:rPr>
                <w:sz w:val="18"/>
              </w:rPr>
              <w:t>Confirm SABER SCoC (Shipment Certificate of Conformity) is obtained and registered for this consignment before vessel departure</w:t>
            </w:r>
          </w:p>
        </w:tc>
        <w:tc>
          <w:tcPr>
            <w:tcW w:type="dxa" w:w="1701"/>
            <w:shd w:val="clear" w:color="auto" w:fill="F2F2F2"/>
            <w:vAlign w:val="center"/>
          </w:tcPr>
          <w:p>
            <w:pPr>
              <w:spacing w:before="40" w:after="40"/>
            </w:pPr>
            <w:r>
              <w:rPr>
                <w:sz w:val="18"/>
              </w:rPr>
              <w:t>Owner / freight forwarder</w:t>
            </w:r>
          </w:p>
        </w:tc>
        <w:tc>
          <w:tcPr>
            <w:tcW w:type="dxa" w:w="2268"/>
            <w:shd w:val="clear" w:color="auto" w:fill="F2F2F2"/>
            <w:vAlign w:val="center"/>
          </w:tcPr>
          <w:p>
            <w:pPr>
              <w:spacing w:before="40" w:after="40"/>
            </w:pPr>
            <w:r>
              <w:rPr>
                <w:sz w:val="18"/>
              </w:rPr>
              <w:t>Required for Saudi customs clearance</w:t>
            </w:r>
          </w:p>
        </w:tc>
      </w:tr>
      <w:tr>
        <w:tc>
          <w:tcPr>
            <w:tcW w:type="dxa" w:w="1701"/>
            <w:shd w:val="clear" w:color="auto" w:fill="FFFFFF"/>
            <w:vAlign w:val="center"/>
          </w:tcPr>
          <w:p>
            <w:pPr>
              <w:spacing w:before="40" w:after="40"/>
            </w:pPr>
            <w:r>
              <w:rPr>
                <w:sz w:val="18"/>
              </w:rPr>
              <w:t>2 — DG GATE</w:t>
            </w:r>
          </w:p>
        </w:tc>
        <w:tc>
          <w:tcPr>
            <w:tcW w:type="dxa" w:w="3969"/>
            <w:shd w:val="clear" w:color="auto" w:fill="FFFFFF"/>
            <w:vAlign w:val="center"/>
          </w:tcPr>
          <w:p>
            <w:pPr>
              <w:spacing w:before="40" w:after="40"/>
            </w:pPr>
            <w:r>
              <w:rPr>
                <w:sz w:val="18"/>
              </w:rPr>
              <w:t>Provide Gas-Free Certificate copies to MEO — issuer, date, validity period, % LEL readings per unit</w:t>
            </w:r>
          </w:p>
        </w:tc>
        <w:tc>
          <w:tcPr>
            <w:tcW w:type="dxa" w:w="1701"/>
            <w:shd w:val="clear" w:color="auto" w:fill="FFFFFF"/>
            <w:vAlign w:val="center"/>
          </w:tcPr>
          <w:p>
            <w:pPr>
              <w:spacing w:before="40" w:after="40"/>
            </w:pPr>
            <w:r>
              <w:rPr>
                <w:sz w:val="18"/>
              </w:rPr>
              <w:t>Owner → MEO</w:t>
            </w:r>
          </w:p>
        </w:tc>
        <w:tc>
          <w:tcPr>
            <w:tcW w:type="dxa" w:w="2268"/>
            <w:shd w:val="clear" w:color="auto" w:fill="FFFFFF"/>
            <w:vAlign w:val="center"/>
          </w:tcPr>
          <w:p>
            <w:pPr>
              <w:spacing w:before="40" w:after="40"/>
            </w:pPr>
            <w:r>
              <w:rPr>
                <w:sz w:val="18"/>
              </w:rPr>
              <w:t>Required for carrier booking package</w:t>
            </w:r>
          </w:p>
        </w:tc>
      </w:tr>
      <w:tr>
        <w:tc>
          <w:tcPr>
            <w:tcW w:type="dxa" w:w="1701"/>
            <w:shd w:val="clear" w:color="auto" w:fill="F2F2F2"/>
            <w:vAlign w:val="center"/>
          </w:tcPr>
          <w:p>
            <w:pPr>
              <w:spacing w:before="40" w:after="40"/>
            </w:pPr>
            <w:r>
              <w:rPr>
                <w:sz w:val="18"/>
              </w:rPr>
              <w:t>3 — BOOKING</w:t>
            </w:r>
          </w:p>
        </w:tc>
        <w:tc>
          <w:tcPr>
            <w:tcW w:type="dxa" w:w="3969"/>
            <w:shd w:val="clear" w:color="auto" w:fill="F2F2F2"/>
            <w:vAlign w:val="center"/>
          </w:tcPr>
          <w:p>
            <w:pPr>
              <w:spacing w:before="40" w:after="40"/>
            </w:pPr>
            <w:r>
              <w:rPr>
                <w:sz w:val="18"/>
              </w:rPr>
              <w:t>Issue simultaneous RFQ to NYK, WWL, and Höegh — 8 × 18 m × 3 m × 2.8 m; 20,000 kg; Khorfakkan/Fujairah discharge; H&amp;H deck width confirmation; degassed ex-fuel tanker</w:t>
            </w:r>
          </w:p>
        </w:tc>
        <w:tc>
          <w:tcPr>
            <w:tcW w:type="dxa" w:w="1701"/>
            <w:shd w:val="clear" w:color="auto" w:fill="F2F2F2"/>
            <w:vAlign w:val="center"/>
          </w:tcPr>
          <w:p>
            <w:pPr>
              <w:spacing w:before="40" w:after="40"/>
            </w:pPr>
            <w:r>
              <w:rPr>
                <w:sz w:val="18"/>
              </w:rPr>
              <w:t>Soren (once gates 1–2 resolved)</w:t>
            </w:r>
          </w:p>
        </w:tc>
        <w:tc>
          <w:tcPr>
            <w:tcW w:type="dxa" w:w="2268"/>
            <w:shd w:val="clear" w:color="auto" w:fill="F2F2F2"/>
            <w:vAlign w:val="center"/>
          </w:tcPr>
          <w:p>
            <w:pPr>
              <w:spacing w:before="40" w:after="40"/>
            </w:pPr>
            <w:r>
              <w:rPr>
                <w:sz w:val="18"/>
              </w:rPr>
              <w:t>Drives routing and cost decision</w:t>
            </w:r>
          </w:p>
        </w:tc>
      </w:tr>
      <w:tr>
        <w:tc>
          <w:tcPr>
            <w:tcW w:type="dxa" w:w="1701"/>
            <w:shd w:val="clear" w:color="auto" w:fill="FFFFFF"/>
            <w:vAlign w:val="center"/>
          </w:tcPr>
          <w:p>
            <w:pPr>
              <w:spacing w:before="40" w:after="40"/>
            </w:pPr>
            <w:r>
              <w:rPr>
                <w:sz w:val="18"/>
              </w:rPr>
              <w:t>4 — BOOKING</w:t>
            </w:r>
          </w:p>
        </w:tc>
        <w:tc>
          <w:tcPr>
            <w:tcW w:type="dxa" w:w="3969"/>
            <w:shd w:val="clear" w:color="auto" w:fill="FFFFFF"/>
            <w:vAlign w:val="center"/>
          </w:tcPr>
          <w:p>
            <w:pPr>
              <w:spacing w:before="40" w:after="40"/>
            </w:pPr>
            <w:r>
              <w:rPr>
                <w:sz w:val="18"/>
              </w:rPr>
              <w:t>Confirm Khorfakkan 4-week wait with carrier and terminal; explore Fujairah as alternate UAE east coast discharge</w:t>
            </w:r>
          </w:p>
        </w:tc>
        <w:tc>
          <w:tcPr>
            <w:tcW w:type="dxa" w:w="1701"/>
            <w:shd w:val="clear" w:color="auto" w:fill="FFFFFF"/>
            <w:vAlign w:val="center"/>
          </w:tcPr>
          <w:p>
            <w:pPr>
              <w:spacing w:before="40" w:after="40"/>
            </w:pPr>
            <w:r>
              <w:rPr>
                <w:sz w:val="18"/>
              </w:rPr>
              <w:t>Soren</w:t>
            </w:r>
          </w:p>
        </w:tc>
        <w:tc>
          <w:tcPr>
            <w:tcW w:type="dxa" w:w="2268"/>
            <w:shd w:val="clear" w:color="auto" w:fill="FFFFFF"/>
            <w:vAlign w:val="center"/>
          </w:tcPr>
          <w:p>
            <w:pPr>
              <w:spacing w:before="40" w:after="40"/>
            </w:pPr>
            <w:r>
              <w:rPr>
                <w:sz w:val="18"/>
              </w:rPr>
              <w:t>Critical path for total transit time</w:t>
            </w:r>
          </w:p>
        </w:tc>
      </w:tr>
      <w:tr>
        <w:tc>
          <w:tcPr>
            <w:tcW w:type="dxa" w:w="1701"/>
            <w:shd w:val="clear" w:color="auto" w:fill="F2F2F2"/>
            <w:vAlign w:val="center"/>
          </w:tcPr>
          <w:p>
            <w:pPr>
              <w:spacing w:before="40" w:after="40"/>
            </w:pPr>
            <w:r>
              <w:rPr>
                <w:sz w:val="18"/>
              </w:rPr>
              <w:t>5 — BOOKING</w:t>
            </w:r>
          </w:p>
        </w:tc>
        <w:tc>
          <w:tcPr>
            <w:tcW w:type="dxa" w:w="3969"/>
            <w:shd w:val="clear" w:color="auto" w:fill="F2F2F2"/>
            <w:vAlign w:val="center"/>
          </w:tcPr>
          <w:p>
            <w:pPr>
              <w:spacing w:before="40" w:after="40"/>
            </w:pPr>
            <w:r>
              <w:rPr>
                <w:sz w:val="18"/>
              </w:rPr>
              <w:t>Obtain UAE and Saudi oversize convoy permits for 3 m × 18 m × 2.8 m vehicle convoy (Scenario C or B overland)</w:t>
            </w:r>
          </w:p>
        </w:tc>
        <w:tc>
          <w:tcPr>
            <w:tcW w:type="dxa" w:w="1701"/>
            <w:shd w:val="clear" w:color="auto" w:fill="F2F2F2"/>
            <w:vAlign w:val="center"/>
          </w:tcPr>
          <w:p>
            <w:pPr>
              <w:spacing w:before="40" w:after="40"/>
            </w:pPr>
            <w:r>
              <w:rPr>
                <w:sz w:val="18"/>
              </w:rPr>
              <w:t>Soren / freight forwarder</w:t>
            </w:r>
          </w:p>
        </w:tc>
        <w:tc>
          <w:tcPr>
            <w:tcW w:type="dxa" w:w="2268"/>
            <w:shd w:val="clear" w:color="auto" w:fill="F2F2F2"/>
            <w:vAlign w:val="center"/>
          </w:tcPr>
          <w:p>
            <w:pPr>
              <w:spacing w:before="40" w:after="40"/>
            </w:pPr>
            <w:r>
              <w:rPr>
                <w:sz w:val="18"/>
              </w:rPr>
              <w:t>Required for self-drive overland leg</w:t>
            </w:r>
          </w:p>
        </w:tc>
      </w:tr>
      <w:tr>
        <w:tc>
          <w:tcPr>
            <w:tcW w:type="dxa" w:w="1701"/>
            <w:shd w:val="clear" w:color="auto" w:fill="FFFFFF"/>
            <w:vAlign w:val="center"/>
          </w:tcPr>
          <w:p>
            <w:pPr>
              <w:spacing w:before="40" w:after="40"/>
            </w:pPr>
            <w:r>
              <w:rPr>
                <w:sz w:val="18"/>
              </w:rPr>
              <w:t>6 — DOCUMENTATION</w:t>
            </w:r>
          </w:p>
        </w:tc>
        <w:tc>
          <w:tcPr>
            <w:tcW w:type="dxa" w:w="3969"/>
            <w:shd w:val="clear" w:color="auto" w:fill="FFFFFF"/>
            <w:vAlign w:val="center"/>
          </w:tcPr>
          <w:p>
            <w:pPr>
              <w:spacing w:before="40" w:after="40"/>
            </w:pPr>
            <w:r>
              <w:rPr>
                <w:sz w:val="18"/>
              </w:rPr>
              <w:t>Freight forwarder to include UN 1202 marine pollutant designation in shipper's DG declaration</w:t>
            </w:r>
          </w:p>
        </w:tc>
        <w:tc>
          <w:tcPr>
            <w:tcW w:type="dxa" w:w="1701"/>
            <w:shd w:val="clear" w:color="auto" w:fill="FFFFFF"/>
            <w:vAlign w:val="center"/>
          </w:tcPr>
          <w:p>
            <w:pPr>
              <w:spacing w:before="40" w:after="40"/>
            </w:pPr>
            <w:r>
              <w:rPr>
                <w:sz w:val="18"/>
              </w:rPr>
              <w:t>Freight forwarder</w:t>
            </w:r>
          </w:p>
        </w:tc>
        <w:tc>
          <w:tcPr>
            <w:tcW w:type="dxa" w:w="2268"/>
            <w:shd w:val="clear" w:color="auto" w:fill="FFFFFF"/>
            <w:vAlign w:val="center"/>
          </w:tcPr>
          <w:p>
            <w:pPr>
              <w:spacing w:before="40" w:after="40"/>
            </w:pPr>
            <w:r>
              <w:rPr>
                <w:sz w:val="18"/>
              </w:rPr>
              <w:t>IMDG compliance — commonly missed</w:t>
            </w:r>
          </w:p>
        </w:tc>
      </w:tr>
      <w:tr>
        <w:tc>
          <w:tcPr>
            <w:tcW w:type="dxa" w:w="1701"/>
            <w:shd w:val="clear" w:color="auto" w:fill="F2F2F2"/>
            <w:vAlign w:val="center"/>
          </w:tcPr>
          <w:p>
            <w:pPr>
              <w:spacing w:before="40" w:after="40"/>
            </w:pPr>
            <w:r>
              <w:rPr>
                <w:sz w:val="18"/>
              </w:rPr>
              <w:t>7 — DOCUMENTATION</w:t>
            </w:r>
          </w:p>
        </w:tc>
        <w:tc>
          <w:tcPr>
            <w:tcW w:type="dxa" w:w="3969"/>
            <w:shd w:val="clear" w:color="auto" w:fill="F2F2F2"/>
            <w:vAlign w:val="center"/>
          </w:tcPr>
          <w:p>
            <w:pPr>
              <w:spacing w:before="40" w:after="40"/>
            </w:pPr>
            <w:r>
              <w:rPr>
                <w:sz w:val="18"/>
              </w:rPr>
              <w:t>Coordinate Gas-Free Certificate issue date with vessel ETD so certificates are valid at port gate (24–48 hour window)</w:t>
            </w:r>
          </w:p>
        </w:tc>
        <w:tc>
          <w:tcPr>
            <w:tcW w:type="dxa" w:w="1701"/>
            <w:shd w:val="clear" w:color="auto" w:fill="F2F2F2"/>
            <w:vAlign w:val="center"/>
          </w:tcPr>
          <w:p>
            <w:pPr>
              <w:spacing w:before="40" w:after="40"/>
            </w:pPr>
            <w:r>
              <w:rPr>
                <w:sz w:val="18"/>
              </w:rPr>
              <w:t>Soren + freight forwarder</w:t>
            </w:r>
          </w:p>
        </w:tc>
        <w:tc>
          <w:tcPr>
            <w:tcW w:type="dxa" w:w="2268"/>
            <w:shd w:val="clear" w:color="auto" w:fill="F2F2F2"/>
            <w:vAlign w:val="center"/>
          </w:tcPr>
          <w:p>
            <w:pPr>
              <w:spacing w:before="40" w:after="40"/>
            </w:pPr>
            <w:r>
              <w:rPr>
                <w:sz w:val="18"/>
              </w:rPr>
              <w:t>Certificates expire — timing is critical path</w:t>
            </w:r>
          </w:p>
        </w:tc>
      </w:tr>
    </w:tbl>
    <w:p/>
    <w:p/>
    <w:p>
      <w:pPr>
        <w:spacing w:before="40" w:after="80"/>
      </w:pPr>
      <w:r>
        <w:rPr>
          <w:b/>
          <w:i w:val="0"/>
          <w:sz w:val="20"/>
        </w:rPr>
        <w:t>MEO recommends progressing items 1 and 2 immediately in parallel. Items 3–7 follow once year of manufacture and SCoC are confirmed.</w:t>
      </w:r>
    </w:p>
    <w:p/>
    <w:p>
      <w:pPr>
        <w:spacing w:before="240"/>
      </w:pPr>
      <w:r>
        <w:rPr>
          <w:i/>
          <w:color w:val="404040"/>
          <w:sz w:val="16"/>
        </w:rPr>
        <w:t>The Works  |  Freight Advisory Report  |  27 July 2026  |  Prepared by Soren (Global Freight Specialist) and Remy (Compliance Specialist)  |  Authorised by MEO  |  All indicative rates Tier 4/5 — live RFQ required before commercial commitment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