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3964"/>
          <w:sz w:val="48"/>
        </w:rPr>
        <w:t>Strategic Roadmap 2026–2029</w:t>
      </w:r>
    </w:p>
    <w:p>
      <w:pPr>
        <w:jc w:val="center"/>
      </w:pPr>
      <w:r>
        <w:rPr>
          <w:i/>
          <w:color w:val="2E74B5"/>
          <w:sz w:val="28"/>
        </w:rPr>
        <w:t>Building the Engine Room — From Growth to Excellence</w:t>
      </w:r>
    </w:p>
    <w:p>
      <w:pPr>
        <w:spacing w:before="240"/>
        <w:jc w:val="center"/>
      </w:pPr>
      <w:r>
        <w:rPr>
          <w:color w:val="404040"/>
          <w:sz w:val="20"/>
        </w:rPr>
        <w:t>Prepared for CEO Review  |  July 2026  |  DRAFT v2.1</w:t>
      </w:r>
    </w:p>
    <w:p>
      <w:r>
        <w:br w:type="page"/>
      </w:r>
    </w:p>
    <w:p>
      <w:pPr>
        <w:spacing w:before="240" w:after="80"/>
      </w:pPr>
      <w:r>
        <w:rPr>
          <w:b/>
          <w:color w:val="1F3964"/>
          <w:sz w:val="32"/>
        </w:rPr>
        <w:t>Where We've Come From</w:t>
      </w:r>
    </w:p>
    <w:p>
      <w:pPr>
        <w:spacing w:before="40" w:after="40"/>
      </w:pPr>
      <w:r>
        <w:rPr>
          <w:color w:val="BDBDBD"/>
          <w:sz w:val="16"/>
        </w:rPr>
        <w:t>────────────────────────────────────────────────────────────────────────────────</w:t>
      </w:r>
    </w:p>
    <w:p>
      <w:pPr>
        <w:spacing w:after="80"/>
      </w:pPr>
      <w:r>
        <w:rPr>
          <w:b w:val="0"/>
          <w:i w:val="0"/>
          <w:color w:val="404040"/>
          <w:sz w:val="20"/>
        </w:rPr>
        <w:t>Ten years ago this business was a fraction of its current size. Today we stand at approximately 160 people and $70–100M AUD in revenue, having doubled in the last 2.5 years in jobs, sales orders, and revenue. We build fuel tankers, bulk liquid transport vehicles and aviation refuellers to a standard the market trusts and increasingly demands.</w:t>
      </w:r>
    </w:p>
    <w:p>
      <w:pPr>
        <w:spacing w:after="80"/>
      </w:pPr>
      <w:r>
        <w:rPr>
          <w:b w:val="0"/>
          <w:i w:val="0"/>
          <w:color w:val="404040"/>
          <w:sz w:val="20"/>
        </w:rPr>
        <w:t>That growth didn't happen by accident. It happened because we built a culture that gives a damn. That is our most valuable and hardest-to-replicate asset.</w:t>
      </w:r>
    </w:p>
    <w:p>
      <w:pPr>
        <w:spacing w:after="80"/>
      </w:pPr>
      <w:r>
        <w:rPr>
          <w:b w:val="0"/>
          <w:i w:val="0"/>
          <w:color w:val="404040"/>
          <w:sz w:val="20"/>
        </w:rPr>
        <w:t>But culture alone cannot carry us through the next phase. We've outgrown our operating system. The people are capable — the machinery around them hasn't kept pace. Every surge in volume amplifies that gap. Error rates climb under pressure. Rework steals capacity. Engineering becomes a bottleneck when it should be an accelerator.</w:t>
      </w:r>
    </w:p>
    <w:p>
      <w:pPr>
        <w:spacing w:after="80"/>
      </w:pPr>
      <w:r>
        <w:rPr>
          <w:b w:val="0"/>
          <w:i w:val="0"/>
          <w:color w:val="404040"/>
          <w:sz w:val="20"/>
        </w:rPr>
        <w:t>The next chapter is not about winning more work. We're already doing that. It's about building an engine room capable of delivering on what we're winning — consistently, at scale, without burning our people out.</w:t>
      </w:r>
    </w:p>
    <w:p>
      <w:pPr>
        <w:spacing w:before="240" w:after="80"/>
      </w:pPr>
      <w:r>
        <w:rPr>
          <w:b/>
          <w:color w:val="1F3964"/>
          <w:sz w:val="32"/>
        </w:rPr>
        <w:t>Our Strategic Framework</w:t>
      </w:r>
    </w:p>
    <w:p>
      <w:pPr>
        <w:spacing w:before="40" w:after="40"/>
      </w:pPr>
      <w:r>
        <w:rPr>
          <w:color w:val="BDBDBD"/>
          <w:sz w:val="16"/>
        </w:rPr>
        <w:t>────────────────────────────────────────────────────────────────────────────────</w:t>
      </w:r>
    </w:p>
    <w:p>
      <w:pPr>
        <w:spacing w:after="80"/>
      </w:pPr>
      <w:r>
        <w:rPr>
          <w:b w:val="0"/>
          <w:i w:val="0"/>
          <w:color w:val="404040"/>
          <w:sz w:val="20"/>
        </w:rPr>
        <w:t>We operate against three Strategic Objectives:</w:t>
      </w:r>
    </w:p>
    <w:tbl>
      <w:tblPr>
        <w:tblStyle w:val="TableGrid"/>
        <w:tblW w:type="auto" w:w="0"/>
        <w:tblLook w:firstColumn="1" w:firstRow="1" w:lastColumn="0" w:lastRow="0" w:noHBand="0" w:noVBand="1" w:val="04A0"/>
      </w:tblPr>
      <w:tblGrid>
        <w:gridCol w:w="4703"/>
        <w:gridCol w:w="4703"/>
      </w:tblGrid>
      <w:tr>
        <w:tc>
          <w:tcPr>
            <w:tcW w:type="dxa" w:w="3168"/>
            <w:shd w:val="clear" w:color="auto" w:fill="1F3964"/>
          </w:tcPr>
          <w:p>
            <w:r>
              <w:rPr>
                <w:b/>
                <w:color w:val="FFFFFF"/>
                <w:sz w:val="18"/>
              </w:rPr>
              <w:t>Objective</w:t>
            </w:r>
          </w:p>
        </w:tc>
        <w:tc>
          <w:tcPr>
            <w:tcW w:type="dxa" w:w="6048"/>
            <w:shd w:val="clear" w:color="auto" w:fill="1F3964"/>
          </w:tcPr>
          <w:p>
            <w:r>
              <w:rPr>
                <w:b/>
                <w:color w:val="FFFFFF"/>
                <w:sz w:val="18"/>
              </w:rPr>
              <w:t>What it means</w:t>
            </w:r>
          </w:p>
        </w:tc>
      </w:tr>
      <w:tr>
        <w:tc>
          <w:tcPr>
            <w:tcW w:type="dxa" w:w="3168"/>
            <w:shd w:val="clear" w:color="auto" w:fill="D6E4F0"/>
          </w:tcPr>
          <w:p>
            <w:r>
              <w:rPr>
                <w:sz w:val="18"/>
              </w:rPr>
              <w:t>1. Hunting on the Front Foot</w:t>
            </w:r>
          </w:p>
        </w:tc>
        <w:tc>
          <w:tcPr>
            <w:tcW w:type="dxa" w:w="6048"/>
            <w:shd w:val="clear" w:color="auto" w:fill="D6E4F0"/>
          </w:tcPr>
          <w:p>
            <w:r>
              <w:rPr>
                <w:sz w:val="18"/>
              </w:rPr>
              <w:t>Proactive, targeted business development — owning the pipeline</w:t>
            </w:r>
          </w:p>
        </w:tc>
      </w:tr>
      <w:tr>
        <w:tc>
          <w:tcPr>
            <w:tcW w:type="dxa" w:w="3168"/>
            <w:shd w:val="clear" w:color="auto" w:fill="FFFFFF"/>
          </w:tcPr>
          <w:p>
            <w:r>
              <w:rPr>
                <w:sz w:val="18"/>
              </w:rPr>
              <w:t>2. First Pass Business</w:t>
            </w:r>
          </w:p>
        </w:tc>
        <w:tc>
          <w:tcPr>
            <w:tcW w:type="dxa" w:w="6048"/>
            <w:shd w:val="clear" w:color="auto" w:fill="FFFFFF"/>
          </w:tcPr>
          <w:p>
            <w:r>
              <w:rPr>
                <w:sz w:val="18"/>
              </w:rPr>
              <w:t>Touch it once. Robust engineering, zero rework, no surprises at delivery</w:t>
            </w:r>
          </w:p>
        </w:tc>
      </w:tr>
      <w:tr>
        <w:tc>
          <w:tcPr>
            <w:tcW w:type="dxa" w:w="3168"/>
            <w:shd w:val="clear" w:color="auto" w:fill="D6E4F0"/>
          </w:tcPr>
          <w:p>
            <w:r>
              <w:rPr>
                <w:sz w:val="18"/>
              </w:rPr>
              <w:t>3. Increase Throughput</w:t>
            </w:r>
          </w:p>
        </w:tc>
        <w:tc>
          <w:tcPr>
            <w:tcW w:type="dxa" w:w="6048"/>
            <w:shd w:val="clear" w:color="auto" w:fill="D6E4F0"/>
          </w:tcPr>
          <w:p>
            <w:r>
              <w:rPr>
                <w:sz w:val="18"/>
              </w:rPr>
              <w:t>More output per person, per dollar, per week — without adding proportional headcount</w:t>
            </w:r>
          </w:p>
        </w:tc>
      </w:tr>
    </w:tbl>
    <w:p/>
    <w:p>
      <w:pPr>
        <w:spacing w:after="80"/>
      </w:pPr>
      <w:r>
        <w:rPr>
          <w:b w:val="0"/>
          <w:i w:val="0"/>
          <w:color w:val="404040"/>
          <w:sz w:val="20"/>
        </w:rPr>
        <w:t>These three are not independent. You cannot sustainably increase throughput if you're burning capacity on rework. You cannot hunt on the front foot if you can't reliably deliver what you're selling. The real leverage point is Objective 2 — First Pass Business. Fix that, and 1 and 3 both improve.</w:t>
      </w:r>
    </w:p>
    <w:p>
      <w:pPr>
        <w:spacing w:before="240" w:after="80"/>
      </w:pPr>
      <w:r>
        <w:rPr>
          <w:b/>
          <w:color w:val="1F3964"/>
          <w:sz w:val="32"/>
        </w:rPr>
        <w:t>Honest Assessment — Where We Stand Today</w:t>
      </w:r>
    </w:p>
    <w:p>
      <w:pPr>
        <w:spacing w:before="40" w:after="40"/>
      </w:pPr>
      <w:r>
        <w:rPr>
          <w:color w:val="BDBDBD"/>
          <w:sz w:val="16"/>
        </w:rPr>
        <w:t>────────────────────────────────────────────────────────────────────────────────</w:t>
      </w:r>
    </w:p>
    <w:p>
      <w:pPr>
        <w:spacing w:before="120" w:after="80"/>
      </w:pPr>
      <w:r>
        <w:rPr>
          <w:b/>
          <w:color w:val="1F3964"/>
          <w:sz w:val="26"/>
        </w:rPr>
        <w:t>What's Working</w:t>
      </w:r>
    </w:p>
    <w:p>
      <w:pPr>
        <w:pStyle w:val="ListBullet"/>
        <w:spacing w:after="40"/>
      </w:pPr>
      <w:r>
        <w:rPr>
          <w:color w:val="404040"/>
          <w:sz w:val="20"/>
        </w:rPr>
        <w:t>Culture — our single greatest competitive advantage. People care, standards are held, and the team has navigated extraordinary growth with integrity</w:t>
      </w:r>
    </w:p>
    <w:p>
      <w:pPr>
        <w:pStyle w:val="ListBullet"/>
        <w:spacing w:after="40"/>
      </w:pPr>
      <w:r>
        <w:rPr>
          <w:color w:val="404040"/>
          <w:sz w:val="20"/>
        </w:rPr>
        <w:t>Business development — we are winning new work proactively. The pipeline is real and growing</w:t>
      </w:r>
    </w:p>
    <w:p>
      <w:pPr>
        <w:pStyle w:val="ListBullet"/>
        <w:spacing w:after="40"/>
      </w:pPr>
      <w:r>
        <w:rPr>
          <w:color w:val="404040"/>
          <w:sz w:val="20"/>
        </w:rPr>
        <w:t>Sales to Engineering handover — already functional. Needs to go from good to excellent</w:t>
      </w:r>
    </w:p>
    <w:p>
      <w:pPr>
        <w:pStyle w:val="ListBullet"/>
        <w:spacing w:after="40"/>
      </w:pPr>
      <w:r>
        <w:rPr>
          <w:color w:val="404040"/>
          <w:sz w:val="20"/>
        </w:rPr>
        <w:t>Market position — fuel tankers, bulk liquid, aviation refuellers. Trusted. Established. Room to grow</w:t>
      </w:r>
    </w:p>
    <w:p>
      <w:pPr>
        <w:pStyle w:val="ListBullet"/>
        <w:spacing w:after="40"/>
      </w:pPr>
      <w:r>
        <w:rPr>
          <w:color w:val="404040"/>
          <w:sz w:val="20"/>
        </w:rPr>
        <w:t>Inspection system — catching 85% of issues before shipment. The framework exists; it needs strengthening</w:t>
      </w:r>
    </w:p>
    <w:p>
      <w:pPr>
        <w:spacing w:before="120" w:after="80"/>
      </w:pPr>
      <w:r>
        <w:rPr>
          <w:b/>
          <w:color w:val="1F3964"/>
          <w:sz w:val="26"/>
        </w:rPr>
        <w:t>What's Not Working</w:t>
      </w:r>
    </w:p>
    <w:p>
      <w:pPr>
        <w:spacing w:after="80"/>
      </w:pPr>
      <w:r>
        <w:rPr>
          <w:b w:val="0"/>
          <w:i w:val="0"/>
          <w:color w:val="404040"/>
          <w:sz w:val="20"/>
        </w:rPr>
        <w:t>There is a cascade failure running through our value stream. It starts in Engineering and amplifies through every downstream function:</w:t>
      </w:r>
    </w:p>
    <w:p>
      <w:pPr>
        <w:spacing w:before="120" w:after="120"/>
        <w:ind w:left="432" w:right="432"/>
        <w:shd w:val="clear" w:color="auto" w:fill="D6E4F0"/>
      </w:pPr>
      <w:r>
        <w:rPr>
          <w:i/>
          <w:color w:val="1F3964"/>
          <w:sz w:val="20"/>
        </w:rPr>
        <w:t>Engineering late and releasing incomplete packages</w:t>
        <w:br/>
        <w:t xml:space="preserve">        ↓</w:t>
        <w:br/>
        <w:t>Fabrication cannot close on time</w:t>
        <w:br/>
        <w:t xml:space="preserve">        ↓</w:t>
        <w:br/>
        <w:t>Operations costing and allocation cannot keep up</w:t>
        <w:br/>
        <w:t xml:space="preserve">        ↓</w:t>
        <w:br/>
        <w:t>Pressure floods the organisation → error rates climb → rework → repeat</w:t>
      </w:r>
    </w:p>
    <w:p>
      <w:pPr>
        <w:spacing w:after="80"/>
      </w:pPr>
      <w:r>
        <w:rPr>
          <w:b w:val="0"/>
          <w:i w:val="0"/>
          <w:color w:val="404040"/>
          <w:sz w:val="20"/>
        </w:rPr>
        <w:t>This is not a people problem. It is a systems and process problem. The constraint is Engineering — and it has three specific root causes.</w:t>
      </w:r>
    </w:p>
    <w:p>
      <w:pPr>
        <w:spacing w:before="240" w:after="80"/>
      </w:pPr>
      <w:r>
        <w:rPr>
          <w:b/>
          <w:color w:val="1F3964"/>
          <w:sz w:val="32"/>
        </w:rPr>
        <w:t>The Quality Picture — What the Data Tells Us</w:t>
      </w:r>
    </w:p>
    <w:p>
      <w:pPr>
        <w:spacing w:before="40" w:after="40"/>
      </w:pPr>
      <w:r>
        <w:rPr>
          <w:color w:val="BDBDBD"/>
          <w:sz w:val="16"/>
        </w:rPr>
        <w:t>────────────────────────────────────────────────────────────────────────────────</w:t>
      </w:r>
    </w:p>
    <w:p>
      <w:pPr>
        <w:spacing w:after="80"/>
      </w:pPr>
      <w:r>
        <w:rPr>
          <w:b w:val="0"/>
          <w:i w:val="0"/>
          <w:color w:val="404040"/>
          <w:sz w:val="20"/>
        </w:rPr>
        <w:t>We have analysed 4,964 repair actions captured in our quality system. The data is clear and it supports urgent, specific action.</w:t>
      </w:r>
    </w:p>
    <w:p>
      <w:pPr>
        <w:spacing w:before="120" w:after="80"/>
      </w:pPr>
      <w:r>
        <w:rPr>
          <w:b/>
          <w:color w:val="1F3964"/>
          <w:sz w:val="26"/>
        </w:rPr>
        <w:t>Volume is growing faster than the business</w:t>
      </w:r>
    </w:p>
    <w:tbl>
      <w:tblPr>
        <w:tblStyle w:val="TableGrid"/>
        <w:tblW w:type="auto" w:w="0"/>
        <w:tblLook w:firstColumn="1" w:firstRow="1" w:lastColumn="0" w:lastRow="0" w:noHBand="0" w:noVBand="1" w:val="04A0"/>
      </w:tblPr>
      <w:tblGrid>
        <w:gridCol w:w="4703"/>
        <w:gridCol w:w="4703"/>
      </w:tblGrid>
      <w:tr>
        <w:tc>
          <w:tcPr>
            <w:tcW w:type="dxa" w:w="3600"/>
            <w:shd w:val="clear" w:color="auto" w:fill="1F3964"/>
          </w:tcPr>
          <w:p>
            <w:r>
              <w:rPr>
                <w:b/>
                <w:color w:val="FFFFFF"/>
                <w:sz w:val="18"/>
              </w:rPr>
              <w:t>Period</w:t>
            </w:r>
          </w:p>
        </w:tc>
        <w:tc>
          <w:tcPr>
            <w:tcW w:type="dxa" w:w="3600"/>
            <w:shd w:val="clear" w:color="auto" w:fill="1F3964"/>
          </w:tcPr>
          <w:p>
            <w:r>
              <w:rPr>
                <w:b/>
                <w:color w:val="FFFFFF"/>
                <w:sz w:val="18"/>
              </w:rPr>
              <w:t>Monthly repair actions</w:t>
            </w:r>
          </w:p>
        </w:tc>
      </w:tr>
      <w:tr>
        <w:tc>
          <w:tcPr>
            <w:tcW w:type="dxa" w:w="3600"/>
            <w:shd w:val="clear" w:color="auto" w:fill="D6E4F0"/>
          </w:tcPr>
          <w:p>
            <w:r>
              <w:rPr>
                <w:sz w:val="18"/>
              </w:rPr>
              <w:t>October 2024</w:t>
            </w:r>
          </w:p>
        </w:tc>
        <w:tc>
          <w:tcPr>
            <w:tcW w:type="dxa" w:w="3600"/>
            <w:shd w:val="clear" w:color="auto" w:fill="D6E4F0"/>
          </w:tcPr>
          <w:p>
            <w:r>
              <w:rPr>
                <w:sz w:val="18"/>
              </w:rPr>
              <w:t>210</w:t>
            </w:r>
          </w:p>
        </w:tc>
      </w:tr>
      <w:tr>
        <w:tc>
          <w:tcPr>
            <w:tcW w:type="dxa" w:w="3600"/>
            <w:shd w:val="clear" w:color="auto" w:fill="FFFFFF"/>
          </w:tcPr>
          <w:p>
            <w:r>
              <w:rPr>
                <w:sz w:val="18"/>
              </w:rPr>
              <w:t>March 2026</w:t>
            </w:r>
          </w:p>
        </w:tc>
        <w:tc>
          <w:tcPr>
            <w:tcW w:type="dxa" w:w="3600"/>
            <w:shd w:val="clear" w:color="auto" w:fill="FFFFFF"/>
          </w:tcPr>
          <w:p>
            <w:r>
              <w:rPr>
                <w:sz w:val="18"/>
              </w:rPr>
              <w:t>362</w:t>
            </w:r>
          </w:p>
        </w:tc>
      </w:tr>
      <w:tr>
        <w:tc>
          <w:tcPr>
            <w:tcW w:type="dxa" w:w="3600"/>
            <w:shd w:val="clear" w:color="auto" w:fill="D6E4F0"/>
          </w:tcPr>
          <w:p>
            <w:r>
              <w:rPr>
                <w:sz w:val="18"/>
              </w:rPr>
              <w:t>Growth</w:t>
            </w:r>
          </w:p>
        </w:tc>
        <w:tc>
          <w:tcPr>
            <w:tcW w:type="dxa" w:w="3600"/>
            <w:shd w:val="clear" w:color="auto" w:fill="D6E4F0"/>
          </w:tcPr>
          <w:p>
            <w:r>
              <w:rPr>
                <w:sz w:val="18"/>
              </w:rPr>
              <w:t>+72% in 18 months</w:t>
            </w:r>
          </w:p>
        </w:tc>
      </w:tr>
    </w:tbl>
    <w:p/>
    <w:p>
      <w:pPr>
        <w:spacing w:after="80"/>
      </w:pPr>
      <w:r>
        <w:rPr>
          <w:b w:val="0"/>
          <w:i w:val="0"/>
          <w:color w:val="404040"/>
          <w:sz w:val="20"/>
        </w:rPr>
        <w:t>Our volume has grown significantly — but repair actions have grown faster. The process is not keeping pace with scale.</w:t>
      </w:r>
    </w:p>
    <w:p>
      <w:pPr>
        <w:spacing w:before="120" w:after="80"/>
      </w:pPr>
      <w:r>
        <w:rPr>
          <w:b/>
          <w:color w:val="1F3964"/>
          <w:sz w:val="26"/>
        </w:rPr>
        <w:t>"Missing" is the dominant defect — at 33%</w:t>
      </w:r>
    </w:p>
    <w:p>
      <w:pPr>
        <w:spacing w:after="80"/>
      </w:pPr>
      <w:r>
        <w:rPr>
          <w:b w:val="0"/>
          <w:i w:val="0"/>
          <w:color w:val="404040"/>
          <w:sz w:val="20"/>
        </w:rPr>
        <w:t>One in three repair actions is something that simply wasn't there — a part, a label, a fitting, a document. This is a Bill of Materials and assembly checklist problem. It is preventable at the desk, not on the floor.</w:t>
      </w:r>
    </w:p>
    <w:tbl>
      <w:tblPr>
        <w:tblStyle w:val="TableGrid"/>
        <w:tblW w:type="auto" w:w="0"/>
        <w:tblLook w:firstColumn="1" w:firstRow="1" w:lastColumn="0" w:lastRow="0" w:noHBand="0" w:noVBand="1" w:val="04A0"/>
      </w:tblPr>
      <w:tblGrid>
        <w:gridCol w:w="4703"/>
        <w:gridCol w:w="4703"/>
      </w:tblGrid>
      <w:tr>
        <w:tc>
          <w:tcPr>
            <w:tcW w:type="dxa" w:w="4320"/>
            <w:shd w:val="clear" w:color="auto" w:fill="1F3964"/>
          </w:tcPr>
          <w:p>
            <w:r>
              <w:rPr>
                <w:b/>
                <w:color w:val="FFFFFF"/>
                <w:sz w:val="18"/>
              </w:rPr>
              <w:t>Concern type</w:t>
            </w:r>
          </w:p>
        </w:tc>
        <w:tc>
          <w:tcPr>
            <w:tcW w:type="dxa" w:w="2880"/>
            <w:shd w:val="clear" w:color="auto" w:fill="1F3964"/>
          </w:tcPr>
          <w:p>
            <w:r>
              <w:rPr>
                <w:b/>
                <w:color w:val="FFFFFF"/>
                <w:sz w:val="18"/>
              </w:rPr>
              <w:t>Count</w:t>
            </w:r>
          </w:p>
        </w:tc>
      </w:tr>
      <w:tr>
        <w:tc>
          <w:tcPr>
            <w:tcW w:type="dxa" w:w="4320"/>
            <w:shd w:val="clear" w:color="auto" w:fill="D6E4F0"/>
          </w:tcPr>
          <w:p>
            <w:r>
              <w:rPr>
                <w:sz w:val="18"/>
              </w:rPr>
              <w:t>Missing</w:t>
            </w:r>
          </w:p>
        </w:tc>
        <w:tc>
          <w:tcPr>
            <w:tcW w:type="dxa" w:w="2880"/>
            <w:shd w:val="clear" w:color="auto" w:fill="D6E4F0"/>
          </w:tcPr>
          <w:p>
            <w:r>
              <w:rPr>
                <w:sz w:val="18"/>
              </w:rPr>
              <w:t>1,625 (33%)</w:t>
            </w:r>
          </w:p>
        </w:tc>
      </w:tr>
      <w:tr>
        <w:tc>
          <w:tcPr>
            <w:tcW w:type="dxa" w:w="4320"/>
            <w:shd w:val="clear" w:color="auto" w:fill="FFFFFF"/>
          </w:tcPr>
          <w:p>
            <w:r>
              <w:rPr>
                <w:sz w:val="18"/>
              </w:rPr>
              <w:t>Loose</w:t>
            </w:r>
          </w:p>
        </w:tc>
        <w:tc>
          <w:tcPr>
            <w:tcW w:type="dxa" w:w="2880"/>
            <w:shd w:val="clear" w:color="auto" w:fill="FFFFFF"/>
          </w:tcPr>
          <w:p>
            <w:r>
              <w:rPr>
                <w:sz w:val="18"/>
              </w:rPr>
              <w:t>177</w:t>
            </w:r>
          </w:p>
        </w:tc>
      </w:tr>
      <w:tr>
        <w:tc>
          <w:tcPr>
            <w:tcW w:type="dxa" w:w="4320"/>
            <w:shd w:val="clear" w:color="auto" w:fill="D6E4F0"/>
          </w:tcPr>
          <w:p>
            <w:r>
              <w:rPr>
                <w:sz w:val="18"/>
              </w:rPr>
              <w:t>Not fitted</w:t>
            </w:r>
          </w:p>
        </w:tc>
        <w:tc>
          <w:tcPr>
            <w:tcW w:type="dxa" w:w="2880"/>
            <w:shd w:val="clear" w:color="auto" w:fill="D6E4F0"/>
          </w:tcPr>
          <w:p>
            <w:r>
              <w:rPr>
                <w:sz w:val="18"/>
              </w:rPr>
              <w:t>120</w:t>
            </w:r>
          </w:p>
        </w:tc>
      </w:tr>
      <w:tr>
        <w:tc>
          <w:tcPr>
            <w:tcW w:type="dxa" w:w="4320"/>
            <w:shd w:val="clear" w:color="auto" w:fill="FFFFFF"/>
          </w:tcPr>
          <w:p>
            <w:r>
              <w:rPr>
                <w:sz w:val="18"/>
              </w:rPr>
              <w:t>Incomplete</w:t>
            </w:r>
          </w:p>
        </w:tc>
        <w:tc>
          <w:tcPr>
            <w:tcW w:type="dxa" w:w="2880"/>
            <w:shd w:val="clear" w:color="auto" w:fill="FFFFFF"/>
          </w:tcPr>
          <w:p>
            <w:r>
              <w:rPr>
                <w:sz w:val="18"/>
              </w:rPr>
              <w:t>85</w:t>
            </w:r>
          </w:p>
        </w:tc>
      </w:tr>
      <w:tr>
        <w:tc>
          <w:tcPr>
            <w:tcW w:type="dxa" w:w="4320"/>
            <w:shd w:val="clear" w:color="auto" w:fill="D6E4F0"/>
          </w:tcPr>
          <w:p>
            <w:r>
              <w:rPr>
                <w:sz w:val="18"/>
              </w:rPr>
              <w:t>Not secured / Not sealed</w:t>
            </w:r>
          </w:p>
        </w:tc>
        <w:tc>
          <w:tcPr>
            <w:tcW w:type="dxa" w:w="2880"/>
            <w:shd w:val="clear" w:color="auto" w:fill="D6E4F0"/>
          </w:tcPr>
          <w:p>
            <w:r>
              <w:rPr>
                <w:sz w:val="18"/>
              </w:rPr>
              <w:t>133</w:t>
            </w:r>
          </w:p>
        </w:tc>
      </w:tr>
    </w:tbl>
    <w:p/>
    <w:p>
      <w:pPr>
        <w:spacing w:before="120" w:after="80"/>
      </w:pPr>
      <w:r>
        <w:rPr>
          <w:b/>
          <w:color w:val="1F3964"/>
          <w:sz w:val="26"/>
        </w:rPr>
        <w:t>The same items are being missed repeatedly — across different jobs</w:t>
      </w:r>
    </w:p>
    <w:p>
      <w:pPr>
        <w:spacing w:after="80"/>
      </w:pPr>
      <w:r>
        <w:rPr>
          <w:b w:val="0"/>
          <w:i w:val="0"/>
          <w:color w:val="404040"/>
          <w:sz w:val="20"/>
        </w:rPr>
        <w:t>These are not random errors. They are systemic failures in our standard BOMs and checklists:</w:t>
      </w:r>
    </w:p>
    <w:tbl>
      <w:tblPr>
        <w:tblStyle w:val="TableGrid"/>
        <w:tblW w:type="auto" w:w="0"/>
        <w:tblLook w:firstColumn="1" w:firstRow="1" w:lastColumn="0" w:lastRow="0" w:noHBand="0" w:noVBand="1" w:val="04A0"/>
      </w:tblPr>
      <w:tblGrid>
        <w:gridCol w:w="4703"/>
        <w:gridCol w:w="4703"/>
      </w:tblGrid>
      <w:tr>
        <w:tc>
          <w:tcPr>
            <w:tcW w:type="dxa" w:w="5040"/>
            <w:shd w:val="clear" w:color="auto" w:fill="1F3964"/>
          </w:tcPr>
          <w:p>
            <w:r>
              <w:rPr>
                <w:b/>
                <w:color w:val="FFFFFF"/>
                <w:sz w:val="18"/>
              </w:rPr>
              <w:t>Item missed</w:t>
            </w:r>
          </w:p>
        </w:tc>
        <w:tc>
          <w:tcPr>
            <w:tcW w:type="dxa" w:w="2160"/>
            <w:shd w:val="clear" w:color="auto" w:fill="1F3964"/>
          </w:tcPr>
          <w:p>
            <w:r>
              <w:rPr>
                <w:b/>
                <w:color w:val="FFFFFF"/>
                <w:sz w:val="18"/>
              </w:rPr>
              <w:t>Times repeated</w:t>
            </w:r>
          </w:p>
        </w:tc>
      </w:tr>
      <w:tr>
        <w:tc>
          <w:tcPr>
            <w:tcW w:type="dxa" w:w="5040"/>
            <w:shd w:val="clear" w:color="auto" w:fill="D6E4F0"/>
          </w:tcPr>
          <w:p>
            <w:r>
              <w:rPr>
                <w:sz w:val="18"/>
              </w:rPr>
              <w:t>Build checklist incomplete</w:t>
            </w:r>
          </w:p>
        </w:tc>
        <w:tc>
          <w:tcPr>
            <w:tcW w:type="dxa" w:w="2160"/>
            <w:shd w:val="clear" w:color="auto" w:fill="D6E4F0"/>
          </w:tcPr>
          <w:p>
            <w:r>
              <w:rPr>
                <w:sz w:val="18"/>
              </w:rPr>
              <w:t>29</w:t>
            </w:r>
          </w:p>
        </w:tc>
      </w:tr>
      <w:tr>
        <w:tc>
          <w:tcPr>
            <w:tcW w:type="dxa" w:w="5040"/>
            <w:shd w:val="clear" w:color="auto" w:fill="FFFFFF"/>
          </w:tcPr>
          <w:p>
            <w:r>
              <w:rPr>
                <w:sz w:val="18"/>
              </w:rPr>
              <w:t>Spare wheel</w:t>
            </w:r>
          </w:p>
        </w:tc>
        <w:tc>
          <w:tcPr>
            <w:tcW w:type="dxa" w:w="2160"/>
            <w:shd w:val="clear" w:color="auto" w:fill="FFFFFF"/>
          </w:tcPr>
          <w:p>
            <w:r>
              <w:rPr>
                <w:sz w:val="18"/>
              </w:rPr>
              <w:t>21</w:t>
            </w:r>
          </w:p>
        </w:tc>
      </w:tr>
      <w:tr>
        <w:tc>
          <w:tcPr>
            <w:tcW w:type="dxa" w:w="5040"/>
            <w:shd w:val="clear" w:color="auto" w:fill="D6E4F0"/>
          </w:tcPr>
          <w:p>
            <w:r>
              <w:rPr>
                <w:sz w:val="18"/>
              </w:rPr>
              <w:t>Fuel circuit plate</w:t>
            </w:r>
          </w:p>
        </w:tc>
        <w:tc>
          <w:tcPr>
            <w:tcW w:type="dxa" w:w="2160"/>
            <w:shd w:val="clear" w:color="auto" w:fill="D6E4F0"/>
          </w:tcPr>
          <w:p>
            <w:r>
              <w:rPr>
                <w:sz w:val="18"/>
              </w:rPr>
              <w:t>14</w:t>
            </w:r>
          </w:p>
        </w:tc>
      </w:tr>
      <w:tr>
        <w:tc>
          <w:tcPr>
            <w:tcW w:type="dxa" w:w="5040"/>
            <w:shd w:val="clear" w:color="auto" w:fill="FFFFFF"/>
          </w:tcPr>
          <w:p>
            <w:r>
              <w:rPr>
                <w:sz w:val="18"/>
              </w:rPr>
              <w:t>Ladder</w:t>
            </w:r>
          </w:p>
        </w:tc>
        <w:tc>
          <w:tcPr>
            <w:tcW w:type="dxa" w:w="2160"/>
            <w:shd w:val="clear" w:color="auto" w:fill="FFFFFF"/>
          </w:tcPr>
          <w:p>
            <w:r>
              <w:rPr>
                <w:sz w:val="18"/>
              </w:rPr>
              <w:t>14</w:t>
            </w:r>
          </w:p>
        </w:tc>
      </w:tr>
      <w:tr>
        <w:tc>
          <w:tcPr>
            <w:tcW w:type="dxa" w:w="5040"/>
            <w:shd w:val="clear" w:color="auto" w:fill="D6E4F0"/>
          </w:tcPr>
          <w:p>
            <w:r>
              <w:rPr>
                <w:sz w:val="18"/>
              </w:rPr>
              <w:t>Filter vessel elements</w:t>
            </w:r>
          </w:p>
        </w:tc>
        <w:tc>
          <w:tcPr>
            <w:tcW w:type="dxa" w:w="2160"/>
            <w:shd w:val="clear" w:color="auto" w:fill="D6E4F0"/>
          </w:tcPr>
          <w:p>
            <w:r>
              <w:rPr>
                <w:sz w:val="18"/>
              </w:rPr>
              <w:t>11</w:t>
            </w:r>
          </w:p>
        </w:tc>
      </w:tr>
      <w:tr>
        <w:tc>
          <w:tcPr>
            <w:tcW w:type="dxa" w:w="5040"/>
            <w:shd w:val="clear" w:color="auto" w:fill="FFFFFF"/>
          </w:tcPr>
          <w:p>
            <w:r>
              <w:rPr>
                <w:sz w:val="18"/>
              </w:rPr>
              <w:t>Weighbridge docket</w:t>
            </w:r>
          </w:p>
        </w:tc>
        <w:tc>
          <w:tcPr>
            <w:tcW w:type="dxa" w:w="2160"/>
            <w:shd w:val="clear" w:color="auto" w:fill="FFFFFF"/>
          </w:tcPr>
          <w:p>
            <w:r>
              <w:rPr>
                <w:sz w:val="18"/>
              </w:rPr>
              <w:t>10</w:t>
            </w:r>
          </w:p>
        </w:tc>
      </w:tr>
      <w:tr>
        <w:tc>
          <w:tcPr>
            <w:tcW w:type="dxa" w:w="5040"/>
            <w:shd w:val="clear" w:color="auto" w:fill="D6E4F0"/>
          </w:tcPr>
          <w:p>
            <w:r>
              <w:rPr>
                <w:sz w:val="18"/>
              </w:rPr>
              <w:t>Control panel nutserts</w:t>
            </w:r>
          </w:p>
        </w:tc>
        <w:tc>
          <w:tcPr>
            <w:tcW w:type="dxa" w:w="2160"/>
            <w:shd w:val="clear" w:color="auto" w:fill="D6E4F0"/>
          </w:tcPr>
          <w:p>
            <w:r>
              <w:rPr>
                <w:sz w:val="18"/>
              </w:rPr>
              <w:t>9</w:t>
            </w:r>
          </w:p>
        </w:tc>
      </w:tr>
      <w:tr>
        <w:tc>
          <w:tcPr>
            <w:tcW w:type="dxa" w:w="5040"/>
            <w:shd w:val="clear" w:color="auto" w:fill="FFFFFF"/>
          </w:tcPr>
          <w:p>
            <w:r>
              <w:rPr>
                <w:sz w:val="18"/>
              </w:rPr>
              <w:t>5th wheel VASS label</w:t>
            </w:r>
          </w:p>
        </w:tc>
        <w:tc>
          <w:tcPr>
            <w:tcW w:type="dxa" w:w="2160"/>
            <w:shd w:val="clear" w:color="auto" w:fill="FFFFFF"/>
          </w:tcPr>
          <w:p>
            <w:r>
              <w:rPr>
                <w:sz w:val="18"/>
              </w:rPr>
              <w:t>9</w:t>
            </w:r>
          </w:p>
        </w:tc>
      </w:tr>
      <w:tr>
        <w:tc>
          <w:tcPr>
            <w:tcW w:type="dxa" w:w="5040"/>
            <w:shd w:val="clear" w:color="auto" w:fill="D6E4F0"/>
          </w:tcPr>
          <w:p>
            <w:r>
              <w:rPr>
                <w:sz w:val="18"/>
              </w:rPr>
              <w:t>Wheel nut indicators</w:t>
            </w:r>
          </w:p>
        </w:tc>
        <w:tc>
          <w:tcPr>
            <w:tcW w:type="dxa" w:w="2160"/>
            <w:shd w:val="clear" w:color="auto" w:fill="D6E4F0"/>
          </w:tcPr>
          <w:p>
            <w:r>
              <w:rPr>
                <w:sz w:val="18"/>
              </w:rPr>
              <w:t>7</w:t>
            </w:r>
          </w:p>
        </w:tc>
      </w:tr>
      <w:tr>
        <w:tc>
          <w:tcPr>
            <w:tcW w:type="dxa" w:w="5040"/>
            <w:shd w:val="clear" w:color="auto" w:fill="FFFFFF"/>
          </w:tcPr>
          <w:p>
            <w:r>
              <w:rPr>
                <w:sz w:val="18"/>
              </w:rPr>
              <w:t>Pressure vessel door seal</w:t>
            </w:r>
          </w:p>
        </w:tc>
        <w:tc>
          <w:tcPr>
            <w:tcW w:type="dxa" w:w="2160"/>
            <w:shd w:val="clear" w:color="auto" w:fill="FFFFFF"/>
          </w:tcPr>
          <w:p>
            <w:r>
              <w:rPr>
                <w:sz w:val="18"/>
              </w:rPr>
              <w:t>7</w:t>
            </w:r>
          </w:p>
        </w:tc>
      </w:tr>
    </w:tbl>
    <w:p/>
    <w:p>
      <w:pPr>
        <w:spacing w:after="80"/>
      </w:pPr>
      <w:r>
        <w:rPr>
          <w:b w:val="0"/>
          <w:i w:val="0"/>
          <w:color w:val="404040"/>
          <w:sz w:val="20"/>
        </w:rPr>
        <w:t>Spare wheels and ladders appearing 14–21 times means the standard BOM is incomplete or the checklist is not being enforced. Each of these should be fixed once and never appear again.</w:t>
      </w:r>
    </w:p>
    <w:p>
      <w:pPr>
        <w:spacing w:before="120" w:after="80"/>
      </w:pPr>
      <w:r>
        <w:rPr>
          <w:b/>
          <w:color w:val="1F3964"/>
          <w:sz w:val="26"/>
        </w:rPr>
        <w:t>392 defects reached the customer</w:t>
      </w:r>
    </w:p>
    <w:p>
      <w:pPr>
        <w:spacing w:after="80"/>
      </w:pPr>
      <w:r>
        <w:rPr>
          <w:b w:val="0"/>
          <w:i w:val="0"/>
          <w:color w:val="404040"/>
          <w:sz w:val="20"/>
        </w:rPr>
        <w:t>392 repair actions were initiated by the customer — meaning our inspection process did not catch them before shipment. In aviation refuelling equipment, this is a significant quality and reputational risk. Common customer-discovered issues include gladhands not fitted, incorrect fuel tank labels, missing wheel nut indicators, and wrong RPM presets.</w:t>
      </w:r>
    </w:p>
    <w:p>
      <w:pPr>
        <w:spacing w:before="120" w:after="80"/>
      </w:pPr>
      <w:r>
        <w:rPr>
          <w:b/>
          <w:color w:val="1F3964"/>
          <w:sz w:val="26"/>
        </w:rPr>
        <w:t>Root cause analysis is not happening</w:t>
      </w:r>
    </w:p>
    <w:tbl>
      <w:tblPr>
        <w:tblStyle w:val="TableGrid"/>
        <w:tblW w:type="auto" w:w="0"/>
        <w:tblLook w:firstColumn="1" w:firstRow="1" w:lastColumn="0" w:lastRow="0" w:noHBand="0" w:noVBand="1" w:val="04A0"/>
      </w:tblPr>
      <w:tblGrid>
        <w:gridCol w:w="4703"/>
        <w:gridCol w:w="4703"/>
      </w:tblGrid>
      <w:tr>
        <w:tc>
          <w:tcPr>
            <w:tcW w:type="dxa" w:w="5040"/>
            <w:shd w:val="clear" w:color="auto" w:fill="1F3964"/>
          </w:tcPr>
          <w:p>
            <w:r>
              <w:rPr>
                <w:b/>
                <w:color w:val="FFFFFF"/>
                <w:sz w:val="18"/>
              </w:rPr>
              <w:t>Metric</w:t>
            </w:r>
          </w:p>
        </w:tc>
        <w:tc>
          <w:tcPr>
            <w:tcW w:type="dxa" w:w="3600"/>
            <w:shd w:val="clear" w:color="auto" w:fill="1F3964"/>
          </w:tcPr>
          <w:p>
            <w:r>
              <w:rPr>
                <w:b/>
                <w:color w:val="FFFFFF"/>
                <w:sz w:val="18"/>
              </w:rPr>
              <w:t>Reality</w:t>
            </w:r>
          </w:p>
        </w:tc>
      </w:tr>
      <w:tr>
        <w:tc>
          <w:tcPr>
            <w:tcW w:type="dxa" w:w="5040"/>
            <w:shd w:val="clear" w:color="auto" w:fill="D6E4F0"/>
          </w:tcPr>
          <w:p>
            <w:r>
              <w:rPr>
                <w:sz w:val="18"/>
              </w:rPr>
              <w:t>Repair actions with root cause owner recorded</w:t>
            </w:r>
          </w:p>
        </w:tc>
        <w:tc>
          <w:tcPr>
            <w:tcW w:type="dxa" w:w="3600"/>
            <w:shd w:val="clear" w:color="auto" w:fill="D6E4F0"/>
          </w:tcPr>
          <w:p>
            <w:r>
              <w:rPr>
                <w:sz w:val="18"/>
              </w:rPr>
              <w:t>108 of 4,964</w:t>
            </w:r>
          </w:p>
        </w:tc>
      </w:tr>
      <w:tr>
        <w:tc>
          <w:tcPr>
            <w:tcW w:type="dxa" w:w="5040"/>
            <w:shd w:val="clear" w:color="auto" w:fill="FFFFFF"/>
          </w:tcPr>
          <w:p>
            <w:r>
              <w:rPr>
                <w:sz w:val="18"/>
              </w:rPr>
              <w:t>Root cause field blank</w:t>
            </w:r>
          </w:p>
        </w:tc>
        <w:tc>
          <w:tcPr>
            <w:tcW w:type="dxa" w:w="3600"/>
            <w:shd w:val="clear" w:color="auto" w:fill="FFFFFF"/>
          </w:tcPr>
          <w:p>
            <w:r>
              <w:rPr>
                <w:sz w:val="18"/>
              </w:rPr>
              <w:t>98% of records</w:t>
            </w:r>
          </w:p>
        </w:tc>
      </w:tr>
    </w:tbl>
    <w:p/>
    <w:p>
      <w:pPr>
        <w:spacing w:after="80"/>
      </w:pPr>
      <w:r>
        <w:rPr>
          <w:b w:val="0"/>
          <w:i w:val="0"/>
          <w:color w:val="404040"/>
          <w:sz w:val="20"/>
        </w:rPr>
        <w:t>We are fixing 4,964 problems but not asking why any of them happened. Without root cause closure, the same issues will generate the same volume of repair actions next year.</w:t>
      </w:r>
    </w:p>
    <w:p>
      <w:pPr>
        <w:spacing w:before="120" w:after="80"/>
      </w:pPr>
      <w:r>
        <w:rPr>
          <w:b/>
          <w:color w:val="1F3964"/>
          <w:sz w:val="26"/>
        </w:rPr>
        <w:t>Cell-level hotspots</w:t>
      </w:r>
    </w:p>
    <w:tbl>
      <w:tblPr>
        <w:tblStyle w:val="TableGrid"/>
        <w:tblW w:type="auto" w:w="0"/>
        <w:tblLook w:firstColumn="1" w:firstRow="1" w:lastColumn="0" w:lastRow="0" w:noHBand="0" w:noVBand="1" w:val="04A0"/>
      </w:tblPr>
      <w:tblGrid>
        <w:gridCol w:w="4703"/>
        <w:gridCol w:w="4703"/>
      </w:tblGrid>
      <w:tr>
        <w:tc>
          <w:tcPr>
            <w:tcW w:type="dxa" w:w="5760"/>
            <w:shd w:val="clear" w:color="auto" w:fill="1F3964"/>
          </w:tcPr>
          <w:p>
            <w:r>
              <w:rPr>
                <w:b/>
                <w:color w:val="FFFFFF"/>
                <w:sz w:val="18"/>
              </w:rPr>
              <w:t>Cell</w:t>
            </w:r>
          </w:p>
        </w:tc>
        <w:tc>
          <w:tcPr>
            <w:tcW w:type="dxa" w:w="2160"/>
            <w:shd w:val="clear" w:color="auto" w:fill="1F3964"/>
          </w:tcPr>
          <w:p>
            <w:r>
              <w:rPr>
                <w:b/>
                <w:color w:val="FFFFFF"/>
                <w:sz w:val="18"/>
              </w:rPr>
              <w:t>Repair Actions</w:t>
            </w:r>
          </w:p>
        </w:tc>
      </w:tr>
      <w:tr>
        <w:tc>
          <w:tcPr>
            <w:tcW w:type="dxa" w:w="5760"/>
            <w:shd w:val="clear" w:color="auto" w:fill="D6E4F0"/>
          </w:tcPr>
          <w:p>
            <w:r>
              <w:rPr>
                <w:sz w:val="18"/>
              </w:rPr>
              <w:t>Manufacturing Aviation — General*</w:t>
            </w:r>
          </w:p>
        </w:tc>
        <w:tc>
          <w:tcPr>
            <w:tcW w:type="dxa" w:w="2160"/>
            <w:shd w:val="clear" w:color="auto" w:fill="D6E4F0"/>
          </w:tcPr>
          <w:p>
            <w:r>
              <w:rPr>
                <w:sz w:val="18"/>
              </w:rPr>
              <w:t>2,284</w:t>
            </w:r>
          </w:p>
        </w:tc>
      </w:tr>
      <w:tr>
        <w:tc>
          <w:tcPr>
            <w:tcW w:type="dxa" w:w="5760"/>
            <w:shd w:val="clear" w:color="auto" w:fill="FFFFFF"/>
          </w:tcPr>
          <w:p>
            <w:r>
              <w:rPr>
                <w:sz w:val="18"/>
              </w:rPr>
              <w:t>Manufacturing Aviation — C8-9</w:t>
            </w:r>
          </w:p>
        </w:tc>
        <w:tc>
          <w:tcPr>
            <w:tcW w:type="dxa" w:w="2160"/>
            <w:shd w:val="clear" w:color="auto" w:fill="FFFFFF"/>
          </w:tcPr>
          <w:p>
            <w:r>
              <w:rPr>
                <w:sz w:val="18"/>
              </w:rPr>
              <w:t>1,061</w:t>
            </w:r>
          </w:p>
        </w:tc>
      </w:tr>
      <w:tr>
        <w:tc>
          <w:tcPr>
            <w:tcW w:type="dxa" w:w="5760"/>
            <w:shd w:val="clear" w:color="auto" w:fill="D6E4F0"/>
          </w:tcPr>
          <w:p>
            <w:r>
              <w:rPr>
                <w:sz w:val="18"/>
              </w:rPr>
              <w:t>Engineering (Mech + Documentation + Elect)</w:t>
            </w:r>
          </w:p>
        </w:tc>
        <w:tc>
          <w:tcPr>
            <w:tcW w:type="dxa" w:w="2160"/>
            <w:shd w:val="clear" w:color="auto" w:fill="D6E4F0"/>
          </w:tcPr>
          <w:p>
            <w:r>
              <w:rPr>
                <w:sz w:val="18"/>
              </w:rPr>
              <w:t>766</w:t>
            </w:r>
          </w:p>
        </w:tc>
      </w:tr>
      <w:tr>
        <w:tc>
          <w:tcPr>
            <w:tcW w:type="dxa" w:w="5760"/>
            <w:shd w:val="clear" w:color="auto" w:fill="FFFFFF"/>
          </w:tcPr>
          <w:p>
            <w:r>
              <w:rPr>
                <w:sz w:val="18"/>
              </w:rPr>
              <w:t>Sales</w:t>
            </w:r>
          </w:p>
        </w:tc>
        <w:tc>
          <w:tcPr>
            <w:tcW w:type="dxa" w:w="2160"/>
            <w:shd w:val="clear" w:color="auto" w:fill="FFFFFF"/>
          </w:tcPr>
          <w:p>
            <w:r>
              <w:rPr>
                <w:sz w:val="18"/>
              </w:rPr>
              <w:t>262</w:t>
            </w:r>
          </w:p>
        </w:tc>
      </w:tr>
      <w:tr>
        <w:tc>
          <w:tcPr>
            <w:tcW w:type="dxa" w:w="5760"/>
            <w:shd w:val="clear" w:color="auto" w:fill="D6E4F0"/>
          </w:tcPr>
          <w:p>
            <w:r>
              <w:rPr>
                <w:sz w:val="18"/>
              </w:rPr>
              <w:t>Supplier (Stores/Purchasing)</w:t>
            </w:r>
          </w:p>
        </w:tc>
        <w:tc>
          <w:tcPr>
            <w:tcW w:type="dxa" w:w="2160"/>
            <w:shd w:val="clear" w:color="auto" w:fill="D6E4F0"/>
          </w:tcPr>
          <w:p>
            <w:r>
              <w:rPr>
                <w:sz w:val="18"/>
              </w:rPr>
              <w:t>176</w:t>
            </w:r>
          </w:p>
        </w:tc>
      </w:tr>
      <w:tr>
        <w:tc>
          <w:tcPr>
            <w:tcW w:type="dxa" w:w="5760"/>
            <w:shd w:val="clear" w:color="auto" w:fill="FFFFFF"/>
          </w:tcPr>
          <w:p>
            <w:r>
              <w:rPr>
                <w:sz w:val="18"/>
              </w:rPr>
              <w:t>Manufacturing Aviation — C1-4</w:t>
            </w:r>
          </w:p>
        </w:tc>
        <w:tc>
          <w:tcPr>
            <w:tcW w:type="dxa" w:w="2160"/>
            <w:shd w:val="clear" w:color="auto" w:fill="FFFFFF"/>
          </w:tcPr>
          <w:p>
            <w:r>
              <w:rPr>
                <w:sz w:val="18"/>
              </w:rPr>
              <w:t>179</w:t>
            </w:r>
          </w:p>
        </w:tc>
      </w:tr>
      <w:tr>
        <w:tc>
          <w:tcPr>
            <w:tcW w:type="dxa" w:w="5760"/>
            <w:shd w:val="clear" w:color="auto" w:fill="D6E4F0"/>
          </w:tcPr>
          <w:p>
            <w:r>
              <w:rPr>
                <w:sz w:val="18"/>
              </w:rPr>
              <w:t>Manufacturing Aviation — C5-7</w:t>
            </w:r>
          </w:p>
        </w:tc>
        <w:tc>
          <w:tcPr>
            <w:tcW w:type="dxa" w:w="2160"/>
            <w:shd w:val="clear" w:color="auto" w:fill="D6E4F0"/>
          </w:tcPr>
          <w:p>
            <w:r>
              <w:rPr>
                <w:sz w:val="18"/>
              </w:rPr>
              <w:t>174</w:t>
            </w:r>
          </w:p>
        </w:tc>
      </w:tr>
      <w:tr>
        <w:tc>
          <w:tcPr>
            <w:tcW w:type="dxa" w:w="5760"/>
            <w:shd w:val="clear" w:color="auto" w:fill="FFFFFF"/>
          </w:tcPr>
          <w:p>
            <w:r>
              <w:rPr>
                <w:sz w:val="18"/>
              </w:rPr>
              <w:t>Paint</w:t>
            </w:r>
          </w:p>
        </w:tc>
        <w:tc>
          <w:tcPr>
            <w:tcW w:type="dxa" w:w="2160"/>
            <w:shd w:val="clear" w:color="auto" w:fill="FFFFFF"/>
          </w:tcPr>
          <w:p>
            <w:r>
              <w:rPr>
                <w:sz w:val="18"/>
              </w:rPr>
              <w:t>168</w:t>
            </w:r>
          </w:p>
        </w:tc>
      </w:tr>
      <w:tr>
        <w:tc>
          <w:tcPr>
            <w:tcW w:type="dxa" w:w="5760"/>
            <w:shd w:val="clear" w:color="auto" w:fill="D6E4F0"/>
          </w:tcPr>
          <w:p>
            <w:r>
              <w:rPr>
                <w:sz w:val="18"/>
              </w:rPr>
              <w:t>Manufacturing (WO) — Fabrication</w:t>
            </w:r>
          </w:p>
        </w:tc>
        <w:tc>
          <w:tcPr>
            <w:tcW w:type="dxa" w:w="2160"/>
            <w:shd w:val="clear" w:color="auto" w:fill="D6E4F0"/>
          </w:tcPr>
          <w:p>
            <w:r>
              <w:rPr>
                <w:sz w:val="18"/>
              </w:rPr>
              <w:t>132</w:t>
            </w:r>
          </w:p>
        </w:tc>
      </w:tr>
      <w:tr>
        <w:tc>
          <w:tcPr>
            <w:tcW w:type="dxa" w:w="5760"/>
            <w:shd w:val="clear" w:color="auto" w:fill="FFFFFF"/>
          </w:tcPr>
          <w:p>
            <w:r>
              <w:rPr>
                <w:sz w:val="18"/>
              </w:rPr>
              <w:t>Manufacturing Aviation — C10</w:t>
            </w:r>
          </w:p>
        </w:tc>
        <w:tc>
          <w:tcPr>
            <w:tcW w:type="dxa" w:w="2160"/>
            <w:shd w:val="clear" w:color="auto" w:fill="FFFFFF"/>
          </w:tcPr>
          <w:p>
            <w:r>
              <w:rPr>
                <w:sz w:val="18"/>
              </w:rPr>
              <w:t>120</w:t>
            </w:r>
          </w:p>
        </w:tc>
      </w:tr>
    </w:tbl>
    <w:p/>
    <w:p>
      <w:pPr>
        <w:spacing w:after="80"/>
      </w:pPr>
      <w:r>
        <w:rPr>
          <w:b w:val="0"/>
          <w:i w:val="0"/>
          <w:color w:val="404040"/>
          <w:sz w:val="20"/>
        </w:rPr>
        <w:t>*"General" attribution indicates the defect was not assigned to a specific cell. This represents a data quality gap — actions that can't be attributed can't be fixed at source.</w:t>
      </w:r>
    </w:p>
    <w:p>
      <w:pPr>
        <w:spacing w:before="120" w:after="80"/>
      </w:pPr>
      <w:r>
        <w:rPr>
          <w:b/>
          <w:color w:val="1F3964"/>
          <w:sz w:val="26"/>
        </w:rPr>
        <w:t>219 items remain open today</w:t>
      </w:r>
    </w:p>
    <w:p>
      <w:pPr>
        <w:pStyle w:val="ListBullet"/>
        <w:spacing w:after="40"/>
      </w:pPr>
      <w:r>
        <w:rPr>
          <w:color w:val="404040"/>
          <w:sz w:val="20"/>
        </w:rPr>
        <w:t>166 "To Do" — not yet actioned</w:t>
      </w:r>
    </w:p>
    <w:p>
      <w:pPr>
        <w:pStyle w:val="ListBullet"/>
        <w:spacing w:after="40"/>
      </w:pPr>
      <w:r>
        <w:rPr>
          <w:color w:val="404040"/>
          <w:sz w:val="20"/>
        </w:rPr>
        <w:t>53 "Pending post-ship" — shipped with known issues outstanding</w:t>
      </w:r>
    </w:p>
    <w:p>
      <w:pPr>
        <w:pStyle w:val="ListBullet"/>
        <w:spacing w:after="40"/>
      </w:pPr>
      <w:r>
        <w:rPr>
          <w:color w:val="404040"/>
          <w:sz w:val="20"/>
        </w:rPr>
        <w:t>108 items open more than 180 days — some unresolved for over a year</w:t>
      </w:r>
    </w:p>
    <w:p>
      <w:pPr>
        <w:spacing w:before="240" w:after="80"/>
      </w:pPr>
      <w:r>
        <w:rPr>
          <w:b/>
          <w:color w:val="1F3964"/>
          <w:sz w:val="32"/>
        </w:rPr>
        <w:t>The Engineering Problem — Root Cause Analysis</w:t>
      </w:r>
    </w:p>
    <w:p>
      <w:pPr>
        <w:spacing w:before="40" w:after="40"/>
      </w:pPr>
      <w:r>
        <w:rPr>
          <w:color w:val="BDBDBD"/>
          <w:sz w:val="16"/>
        </w:rPr>
        <w:t>────────────────────────────────────────────────────────────────────────────────</w:t>
      </w:r>
    </w:p>
    <w:p>
      <w:pPr>
        <w:spacing w:before="120" w:after="80"/>
      </w:pPr>
      <w:r>
        <w:rPr>
          <w:b/>
          <w:color w:val="1F3964"/>
          <w:sz w:val="26"/>
        </w:rPr>
        <w:t>Root Cause 1 — Schedule Has No Teeth</w:t>
      </w:r>
    </w:p>
    <w:p>
      <w:pPr>
        <w:spacing w:after="80"/>
      </w:pPr>
      <w:r>
        <w:rPr>
          <w:b w:val="0"/>
          <w:i w:val="0"/>
          <w:color w:val="404040"/>
          <w:sz w:val="20"/>
        </w:rPr>
        <w:t>A schedule exists. It is not being met. Jobs move from "in progress" to "late" with no early warning. Key drivers:</w:t>
      </w:r>
    </w:p>
    <w:p>
      <w:pPr>
        <w:pStyle w:val="ListBullet"/>
        <w:spacing w:after="40"/>
      </w:pPr>
      <w:r>
        <w:rPr>
          <w:color w:val="404040"/>
          <w:sz w:val="20"/>
        </w:rPr>
        <w:t>Jobs underestimated at intake — optimistic hours, real-world pressure</w:t>
      </w:r>
    </w:p>
    <w:p>
      <w:pPr>
        <w:pStyle w:val="ListBullet"/>
        <w:spacing w:after="40"/>
      </w:pPr>
      <w:r>
        <w:rPr>
          <w:color w:val="404040"/>
          <w:sz w:val="20"/>
        </w:rPr>
        <w:t>Competing priorities with no clear sequencing rules</w:t>
      </w:r>
    </w:p>
    <w:p>
      <w:pPr>
        <w:pStyle w:val="ListBullet"/>
        <w:spacing w:after="40"/>
      </w:pPr>
      <w:r>
        <w:rPr>
          <w:color w:val="404040"/>
          <w:sz w:val="20"/>
        </w:rPr>
        <w:t>No mid-job visibility — problems surface at the deadline, not before it</w:t>
      </w:r>
    </w:p>
    <w:p>
      <w:pPr>
        <w:spacing w:before="120" w:after="80"/>
      </w:pPr>
      <w:r>
        <w:rPr>
          <w:b/>
          <w:color w:val="1F3964"/>
          <w:sz w:val="26"/>
        </w:rPr>
        <w:t>Root Cause 2 — Bills of Materials Released Incomplete</w:t>
      </w:r>
    </w:p>
    <w:p>
      <w:pPr>
        <w:spacing w:after="80"/>
      </w:pPr>
      <w:r>
        <w:rPr>
          <w:b w:val="0"/>
          <w:i w:val="0"/>
          <w:color w:val="404040"/>
          <w:sz w:val="20"/>
        </w:rPr>
        <w:t>Items are being left off BOMs. Those missing items are discovered later — in fabrication or assembly — where the cost of the error is multiplied. A missing component can stop a build, trigger emergency procurement, and ripple delay and cost through everything downstream. The data confirms this: 1,625 "missing" repair actions across 4,964 records.</w:t>
      </w:r>
    </w:p>
    <w:p>
      <w:pPr>
        <w:spacing w:before="120" w:after="80"/>
      </w:pPr>
      <w:r>
        <w:rPr>
          <w:b/>
          <w:color w:val="1F3964"/>
          <w:sz w:val="26"/>
        </w:rPr>
        <w:t>Root Cause 3 — No Substantive Quality Review Before Release</w:t>
      </w:r>
    </w:p>
    <w:p>
      <w:pPr>
        <w:spacing w:after="80"/>
      </w:pPr>
      <w:r>
        <w:rPr>
          <w:b w:val="0"/>
          <w:i w:val="0"/>
          <w:color w:val="404040"/>
          <w:sz w:val="20"/>
        </w:rPr>
        <w:t>Clashes and errors that should be caught at the desk are reaching the floor. We use SolidWorks — interference detection is a native capability not currently used as a mandatory step. For large complex vehicle assemblies (aviation refuellers and dispensers), whole-vehicle clash detection is less effective; the fix is sub-assembly level checks combined with a structured senior engineer spatial review on complex jobs.</w:t>
      </w:r>
    </w:p>
    <w:p>
      <w:pPr>
        <w:spacing w:before="120" w:after="80"/>
      </w:pPr>
      <w:r>
        <w:rPr>
          <w:b/>
          <w:color w:val="1F3964"/>
          <w:sz w:val="26"/>
        </w:rPr>
        <w:t>The Underlying Pattern</w:t>
      </w:r>
    </w:p>
    <w:p>
      <w:pPr>
        <w:spacing w:before="120" w:after="120"/>
        <w:ind w:left="432" w:right="432"/>
        <w:shd w:val="clear" w:color="auto" w:fill="D6E4F0"/>
      </w:pPr>
      <w:r>
        <w:rPr>
          <w:i/>
          <w:color w:val="1F3964"/>
          <w:sz w:val="20"/>
        </w:rPr>
        <w:t>"Released" means the engineer finished, not that the package is ready. Under time pressure, incomplete work is pushed through because the pressure is on the release date, not the quality of what's released. This is false economy — we save an hour in engineering and spend a day on the floor.</w:t>
      </w:r>
    </w:p>
    <w:p>
      <w:pPr>
        <w:spacing w:before="240" w:after="80"/>
      </w:pPr>
      <w:r>
        <w:rPr>
          <w:b/>
          <w:color w:val="1F3964"/>
          <w:sz w:val="32"/>
        </w:rPr>
        <w:t>The 12-Month Plan (July 2026 – June 2027)</w:t>
      </w:r>
    </w:p>
    <w:p>
      <w:pPr>
        <w:spacing w:before="120" w:after="80"/>
      </w:pPr>
      <w:r>
        <w:rPr>
          <w:b/>
          <w:color w:val="1F3964"/>
          <w:sz w:val="26"/>
        </w:rPr>
        <w:t>"Stabilise the Platform"</w:t>
      </w:r>
    </w:p>
    <w:p>
      <w:pPr>
        <w:spacing w:before="40" w:after="40"/>
      </w:pPr>
      <w:r>
        <w:rPr>
          <w:color w:val="BDBDBD"/>
          <w:sz w:val="16"/>
        </w:rPr>
        <w:t>────────────────────────────────────────────────────────────────────────────────</w:t>
      </w:r>
    </w:p>
    <w:p>
      <w:pPr>
        <w:spacing w:before="120" w:after="80"/>
      </w:pPr>
      <w:r>
        <w:rPr>
          <w:b/>
          <w:color w:val="1F3964"/>
          <w:sz w:val="26"/>
        </w:rPr>
        <w:t>Priority 1 — Install the Engineering Release Gate  (start within 30 days)</w:t>
      </w:r>
    </w:p>
    <w:p>
      <w:pPr>
        <w:spacing w:after="80"/>
      </w:pPr>
      <w:r>
        <w:rPr>
          <w:b w:val="0"/>
          <w:i w:val="0"/>
          <w:color w:val="404040"/>
          <w:sz w:val="20"/>
        </w:rPr>
        <w:t>Define what "done" looks like and make it non-negotiable before any package leaves engineering.</w:t>
      </w:r>
    </w:p>
    <w:p>
      <w:pPr>
        <w:spacing w:before="120" w:after="80"/>
      </w:pPr>
      <w:r>
        <w:rPr>
          <w:b/>
          <w:color w:val="1F3964"/>
          <w:sz w:val="22"/>
        </w:rPr>
        <w:t>The Release Checklist:</w:t>
      </w:r>
    </w:p>
    <w:p>
      <w:pPr>
        <w:pStyle w:val="ListBullet"/>
        <w:spacing w:after="40"/>
      </w:pPr>
      <w:r>
        <w:rPr>
          <w:color w:val="404040"/>
          <w:sz w:val="20"/>
        </w:rPr>
        <w:t>SolidWorks interference detection completed at sub-assembly level</w:t>
      </w:r>
    </w:p>
    <w:p>
      <w:pPr>
        <w:pStyle w:val="ListBullet"/>
        <w:spacing w:after="40"/>
      </w:pPr>
      <w:r>
        <w:rPr>
          <w:color w:val="404040"/>
          <w:sz w:val="20"/>
        </w:rPr>
        <w:t>Senior engineer spatial review completed on complex jobs</w:t>
      </w:r>
    </w:p>
    <w:p>
      <w:pPr>
        <w:pStyle w:val="ListBullet"/>
        <w:spacing w:after="40"/>
      </w:pPr>
      <w:r>
        <w:rPr>
          <w:color w:val="404040"/>
          <w:sz w:val="20"/>
        </w:rPr>
        <w:t>BOM complete — every line item verified, quantities confirmed, part numbers resolved</w:t>
      </w:r>
    </w:p>
    <w:p>
      <w:pPr>
        <w:pStyle w:val="ListBullet"/>
        <w:spacing w:after="40"/>
      </w:pPr>
      <w:r>
        <w:rPr>
          <w:color w:val="404040"/>
          <w:sz w:val="20"/>
        </w:rPr>
        <w:t>Peer drawing review signed off</w:t>
      </w:r>
    </w:p>
    <w:p>
      <w:pPr>
        <w:pStyle w:val="ListBullet"/>
        <w:spacing w:after="40"/>
      </w:pPr>
      <w:r>
        <w:rPr>
          <w:color w:val="404040"/>
          <w:sz w:val="20"/>
        </w:rPr>
        <w:t>Engineering lead sign-off before release to production</w:t>
      </w:r>
    </w:p>
    <w:p>
      <w:pPr>
        <w:spacing w:after="80"/>
      </w:pPr>
      <w:r>
        <w:rPr>
          <w:b w:val="0"/>
          <w:i w:val="0"/>
          <w:color w:val="404040"/>
          <w:sz w:val="20"/>
        </w:rPr>
        <w:t>No package released without the checklist complete. This applies under time pressure — especially under time pressure.</w:t>
      </w:r>
    </w:p>
    <w:p>
      <w:pPr>
        <w:spacing w:before="120" w:after="80"/>
      </w:pPr>
      <w:r>
        <w:rPr>
          <w:b/>
          <w:color w:val="1F3964"/>
          <w:sz w:val="22"/>
        </w:rPr>
        <w:t>Timeline:</w:t>
      </w:r>
    </w:p>
    <w:p>
      <w:pPr>
        <w:pStyle w:val="ListBullet"/>
        <w:spacing w:after="40"/>
      </w:pPr>
      <w:r>
        <w:rPr>
          <w:color w:val="404040"/>
          <w:sz w:val="20"/>
        </w:rPr>
        <w:t>Weeks 1–4: Write checklist, align with engineering team, activate SolidWorks interference detection</w:t>
      </w:r>
    </w:p>
    <w:p>
      <w:pPr>
        <w:pStyle w:val="ListBullet"/>
        <w:spacing w:after="40"/>
      </w:pPr>
      <w:r>
        <w:rPr>
          <w:color w:val="404040"/>
          <w:sz w:val="20"/>
        </w:rPr>
        <w:t>Weeks 4–12: Every job through the gate. Track BOM-originated production stops weekly</w:t>
      </w:r>
    </w:p>
    <w:p>
      <w:pPr>
        <w:pStyle w:val="ListBullet"/>
        <w:spacing w:after="40"/>
      </w:pPr>
      <w:r>
        <w:rPr>
          <w:color w:val="404040"/>
          <w:sz w:val="20"/>
        </w:rPr>
        <w:t>Months 3–6: Schedule accuracy improving as estimates are informed by real data</w:t>
      </w:r>
    </w:p>
    <w:p>
      <w:pPr>
        <w:pStyle w:val="ListBullet"/>
        <w:spacing w:after="40"/>
      </w:pPr>
      <w:r>
        <w:rPr>
          <w:color w:val="404040"/>
          <w:sz w:val="20"/>
        </w:rPr>
        <w:t>Months 6–12: On-time release rate at 85%+. BOM stops rare. Floor stops being surprised</w:t>
      </w:r>
    </w:p>
    <w:p>
      <w:pPr>
        <w:spacing w:before="120" w:after="80"/>
      </w:pPr>
      <w:r>
        <w:rPr>
          <w:b/>
          <w:color w:val="1F3964"/>
          <w:sz w:val="26"/>
        </w:rPr>
        <w:t>Priority 2 — Fix the Recurring BOM Items  (this week)</w:t>
      </w:r>
    </w:p>
    <w:p>
      <w:pPr>
        <w:spacing w:after="80"/>
      </w:pPr>
      <w:r>
        <w:rPr>
          <w:b w:val="0"/>
          <w:i w:val="0"/>
          <w:color w:val="404040"/>
          <w:sz w:val="20"/>
        </w:rPr>
        <w:t>The following items appear repeatedly across multiple jobs and should be permanently added to every relevant standard BOM and closing checklist immediately:</w:t>
      </w:r>
    </w:p>
    <w:p>
      <w:pPr>
        <w:spacing w:before="120" w:after="120"/>
        <w:ind w:left="432" w:right="432"/>
        <w:shd w:val="clear" w:color="auto" w:fill="D6E4F0"/>
      </w:pPr>
      <w:r>
        <w:rPr>
          <w:i/>
          <w:color w:val="1F3964"/>
          <w:sz w:val="20"/>
        </w:rPr>
        <w:t>Spare wheel  |  Ladder  |  Fuel circuit plate/label  |  Control panel nutserts  |  5th wheel VASS label  |  Wheel nut indicators  |  Pressure vessel door seal  |  Weighbridge docket  |  Filter vessel elements</w:t>
      </w:r>
    </w:p>
    <w:p>
      <w:pPr>
        <w:spacing w:after="80"/>
      </w:pPr>
      <w:r>
        <w:rPr>
          <w:b/>
          <w:i w:val="0"/>
          <w:color w:val="404040"/>
          <w:sz w:val="20"/>
        </w:rPr>
        <w:t>This is a one-hour exercise that eliminates dozens of future repair actions.</w:t>
      </w:r>
    </w:p>
    <w:p>
      <w:pPr>
        <w:spacing w:before="120" w:after="80"/>
      </w:pPr>
      <w:r>
        <w:rPr>
          <w:b/>
          <w:color w:val="1F3964"/>
          <w:sz w:val="26"/>
        </w:rPr>
        <w:t>Priority 3 — Engineering Schedule Discipline</w:t>
      </w:r>
    </w:p>
    <w:p>
      <w:pPr>
        <w:pStyle w:val="ListBullet"/>
        <w:spacing w:after="40"/>
      </w:pPr>
      <w:r>
        <w:rPr>
          <w:color w:val="404040"/>
          <w:sz w:val="20"/>
        </w:rPr>
        <w:t>Weekly engineering throughput review: jobs in, completed, at risk, reasons</w:t>
      </w:r>
    </w:p>
    <w:p>
      <w:pPr>
        <w:pStyle w:val="ListBullet"/>
        <w:spacing w:after="40"/>
      </w:pPr>
      <w:r>
        <w:rPr>
          <w:color w:val="404040"/>
          <w:sz w:val="20"/>
        </w:rPr>
        <w:t>Engineering lead owns the schedule — queue visibility, capacity flags raised before lateness</w:t>
      </w:r>
    </w:p>
    <w:p>
      <w:pPr>
        <w:pStyle w:val="ListBullet"/>
        <w:spacing w:after="40"/>
      </w:pPr>
      <w:r>
        <w:rPr>
          <w:color w:val="404040"/>
          <w:sz w:val="20"/>
        </w:rPr>
        <w:t>Estimate accuracy tracked over time — build actuals database by job type</w:t>
      </w:r>
    </w:p>
    <w:p>
      <w:pPr>
        <w:pStyle w:val="ListBullet"/>
        <w:spacing w:after="40"/>
      </w:pPr>
      <w:r>
        <w:rPr>
          <w:color w:val="404040"/>
          <w:sz w:val="20"/>
        </w:rPr>
        <w:t>Jobs sequenced by downstream impact, not intake order</w:t>
      </w:r>
    </w:p>
    <w:p>
      <w:pPr>
        <w:spacing w:before="120" w:after="80"/>
      </w:pPr>
      <w:r>
        <w:rPr>
          <w:b/>
          <w:color w:val="1F3964"/>
          <w:sz w:val="26"/>
        </w:rPr>
        <w:t>Priority 4 — Close the Root Cause Loop</w:t>
      </w:r>
    </w:p>
    <w:p>
      <w:pPr>
        <w:pStyle w:val="ListBullet"/>
        <w:spacing w:after="40"/>
      </w:pPr>
      <w:r>
        <w:rPr>
          <w:color w:val="404040"/>
          <w:sz w:val="20"/>
        </w:rPr>
        <w:t>Every completed repair action requires a root cause category and owner before closure</w:t>
      </w:r>
    </w:p>
    <w:p>
      <w:pPr>
        <w:pStyle w:val="ListBullet"/>
        <w:spacing w:after="40"/>
      </w:pPr>
      <w:r>
        <w:rPr>
          <w:color w:val="404040"/>
          <w:sz w:val="20"/>
        </w:rPr>
        <w:t>Monthly root cause report: top 5 recurring causes, corrective actions assigned</w:t>
      </w:r>
    </w:p>
    <w:p>
      <w:pPr>
        <w:pStyle w:val="ListBullet"/>
        <w:spacing w:after="40"/>
      </w:pPr>
      <w:r>
        <w:rPr>
          <w:color w:val="404040"/>
          <w:sz w:val="20"/>
        </w:rPr>
        <w:t>Target: root cause closure rate 100% within 3 months</w:t>
      </w:r>
    </w:p>
    <w:p>
      <w:pPr>
        <w:pStyle w:val="ListBullet"/>
        <w:spacing w:after="40"/>
      </w:pPr>
      <w:r>
        <w:rPr>
          <w:color w:val="404040"/>
          <w:sz w:val="20"/>
        </w:rPr>
        <w:t>This single change converts our repair system from a fix register into a learning system</w:t>
      </w:r>
    </w:p>
    <w:p>
      <w:pPr>
        <w:spacing w:before="120" w:after="80"/>
      </w:pPr>
      <w:r>
        <w:rPr>
          <w:b/>
          <w:color w:val="1F3964"/>
          <w:sz w:val="26"/>
        </w:rPr>
        <w:t>Priority 5 — Sales to Engineering: Good to Excellent</w:t>
      </w:r>
    </w:p>
    <w:p>
      <w:pPr>
        <w:pStyle w:val="ListBullet"/>
        <w:spacing w:after="40"/>
      </w:pPr>
      <w:r>
        <w:rPr>
          <w:color w:val="404040"/>
          <w:sz w:val="20"/>
        </w:rPr>
        <w:t>Standardise the handover pack — Engineering receives everything in a consistent, complete structure</w:t>
      </w:r>
    </w:p>
    <w:p>
      <w:pPr>
        <w:pStyle w:val="ListBullet"/>
        <w:spacing w:after="40"/>
      </w:pPr>
      <w:r>
        <w:rPr>
          <w:color w:val="404040"/>
          <w:sz w:val="20"/>
        </w:rPr>
        <w:t>30-minute intake meeting for complex or high-value jobs before the clock starts</w:t>
      </w:r>
    </w:p>
    <w:p>
      <w:pPr>
        <w:pStyle w:val="ListBullet"/>
        <w:spacing w:after="40"/>
      </w:pPr>
      <w:r>
        <w:rPr>
          <w:color w:val="404040"/>
          <w:sz w:val="20"/>
        </w:rPr>
        <w:t>Target: zero engineering queries back to Sales on standard jobs post-handover</w:t>
      </w:r>
    </w:p>
    <w:p>
      <w:pPr>
        <w:spacing w:before="120" w:after="80"/>
      </w:pPr>
      <w:r>
        <w:rPr>
          <w:b/>
          <w:color w:val="1F3964"/>
          <w:sz w:val="26"/>
        </w:rPr>
        <w:t>Priority 6 — Operations: Costing and Allocation Speed</w:t>
      </w:r>
    </w:p>
    <w:p>
      <w:pPr>
        <w:pStyle w:val="ListBullet"/>
        <w:spacing w:after="40"/>
      </w:pPr>
      <w:r>
        <w:rPr>
          <w:color w:val="404040"/>
          <w:sz w:val="20"/>
        </w:rPr>
        <w:t>Map the costing process — where does it wait?</w:t>
      </w:r>
    </w:p>
    <w:p>
      <w:pPr>
        <w:pStyle w:val="ListBullet"/>
        <w:spacing w:after="40"/>
      </w:pPr>
      <w:r>
        <w:rPr>
          <w:color w:val="404040"/>
          <w:sz w:val="20"/>
        </w:rPr>
        <w:t>Identify capacity vs workflow design issue</w:t>
      </w:r>
    </w:p>
    <w:p>
      <w:pPr>
        <w:pStyle w:val="ListBullet"/>
        <w:spacing w:after="40"/>
      </w:pPr>
      <w:r>
        <w:rPr>
          <w:color w:val="404040"/>
          <w:sz w:val="20"/>
        </w:rPr>
        <w:t>Target: costing turnaround reduced 40% within 6 months</w:t>
      </w:r>
    </w:p>
    <w:p>
      <w:pPr>
        <w:pStyle w:val="ListBullet"/>
        <w:spacing w:after="40"/>
      </w:pPr>
      <w:r>
        <w:rPr>
          <w:color w:val="404040"/>
          <w:sz w:val="20"/>
        </w:rPr>
        <w:t>Assess whether a systems investment (ERP, cost management tooling) is required</w:t>
      </w:r>
    </w:p>
    <w:p>
      <w:pPr>
        <w:spacing w:before="120" w:after="80"/>
      </w:pPr>
      <w:r>
        <w:rPr>
          <w:b/>
          <w:color w:val="1F3964"/>
          <w:sz w:val="26"/>
        </w:rPr>
        <w:t>Priority 7 — Activate the Scorecard</w:t>
      </w:r>
    </w:p>
    <w:p>
      <w:pPr>
        <w:pStyle w:val="ListBullet"/>
        <w:spacing w:after="40"/>
      </w:pPr>
      <w:r>
        <w:rPr>
          <w:color w:val="404040"/>
          <w:sz w:val="20"/>
        </w:rPr>
        <w:t>Establish baselines for all KPIs by end of Q1 FY27</w:t>
      </w:r>
    </w:p>
    <w:p>
      <w:pPr>
        <w:pStyle w:val="ListBullet"/>
        <w:spacing w:after="40"/>
      </w:pPr>
      <w:r>
        <w:rPr>
          <w:color w:val="404040"/>
          <w:sz w:val="20"/>
        </w:rPr>
        <w:t>Assign an owner to every KPI — a name, not a function</w:t>
      </w:r>
    </w:p>
    <w:p>
      <w:pPr>
        <w:pStyle w:val="ListBullet"/>
        <w:spacing w:after="40"/>
      </w:pPr>
      <w:r>
        <w:rPr>
          <w:color w:val="404040"/>
          <w:sz w:val="20"/>
        </w:rPr>
        <w:t>Monthly one-page traffic light report</w:t>
      </w:r>
    </w:p>
    <w:p>
      <w:pPr>
        <w:pStyle w:val="ListBullet"/>
        <w:spacing w:after="40"/>
      </w:pPr>
      <w:r>
        <w:rPr>
          <w:color w:val="404040"/>
          <w:sz w:val="20"/>
        </w:rPr>
        <w:t>No KPI without a person who has authority and responsibility to move it</w:t>
      </w:r>
    </w:p>
    <w:p>
      <w:pPr>
        <w:spacing w:before="240" w:after="80"/>
      </w:pPr>
      <w:r>
        <w:rPr>
          <w:b/>
          <w:color w:val="1F3964"/>
          <w:sz w:val="32"/>
        </w:rPr>
        <w:t>Discipline and Governance — How We Lock This In</w:t>
      </w:r>
    </w:p>
    <w:p>
      <w:pPr>
        <w:spacing w:before="40" w:after="40"/>
      </w:pPr>
      <w:r>
        <w:rPr>
          <w:color w:val="BDBDBD"/>
          <w:sz w:val="16"/>
        </w:rPr>
        <w:t>────────────────────────────────────────────────────────────────────────────────</w:t>
      </w:r>
    </w:p>
    <w:p>
      <w:pPr>
        <w:spacing w:after="80"/>
      </w:pPr>
      <w:r>
        <w:rPr>
          <w:b w:val="0"/>
          <w:i w:val="0"/>
          <w:color w:val="404040"/>
          <w:sz w:val="20"/>
        </w:rPr>
        <w:t>Strategy is easy. Execution is where organisations fail. The difference between a plan that runs for six months and one that runs for three years is not motivation — it is architecture. Discipline built into the system, not dependent on willpower.</w:t>
      </w:r>
    </w:p>
    <w:p>
      <w:pPr>
        <w:spacing w:before="120" w:after="120"/>
        <w:ind w:left="432" w:right="432"/>
        <w:shd w:val="clear" w:color="auto" w:fill="D6E4F0"/>
      </w:pPr>
      <w:r>
        <w:rPr>
          <w:i/>
          <w:color w:val="1F3964"/>
          <w:sz w:val="20"/>
        </w:rPr>
        <w:t>"Every system is perfectly designed to get the results it gets." The current system produces late engineering releases and incomplete BOMs. We need a different system.</w:t>
      </w:r>
    </w:p>
    <w:p>
      <w:pPr>
        <w:spacing w:before="120" w:after="80"/>
      </w:pPr>
      <w:r>
        <w:rPr>
          <w:b/>
          <w:color w:val="1F3964"/>
          <w:sz w:val="26"/>
        </w:rPr>
        <w:t>Layer 1 — Non-Negotiables (Things That Cannot Be Skipped)</w:t>
      </w:r>
    </w:p>
    <w:p>
      <w:pPr>
        <w:spacing w:after="80"/>
      </w:pPr>
      <w:r>
        <w:rPr>
          <w:b w:val="0"/>
          <w:i w:val="0"/>
          <w:color w:val="404040"/>
          <w:sz w:val="20"/>
        </w:rPr>
        <w:t>Three hard stops that apply regardless of schedule pressure:</w:t>
      </w:r>
    </w:p>
    <w:p>
      <w:pPr>
        <w:pStyle w:val="ListNumber"/>
        <w:spacing w:after="80"/>
      </w:pPr>
      <w:r>
        <w:rPr>
          <w:color w:val="404040"/>
          <w:sz w:val="20"/>
        </w:rPr>
        <w:t>Engineering release checklist is mandatory — no package leaves engineering without it complete. The checklist exists precisely for moments of pressure. If we bypass it when we're running late, we have taught the organisation that standards only apply when convenient.</w:t>
      </w:r>
    </w:p>
    <w:p>
      <w:pPr>
        <w:pStyle w:val="ListNumber"/>
        <w:spacing w:after="80"/>
      </w:pPr>
      <w:r>
        <w:rPr>
          <w:color w:val="404040"/>
          <w:sz w:val="20"/>
        </w:rPr>
        <w:t>Root cause closure before a repair action closes — every completed repair action requires a documented root cause owner and category before it can be marked resolved. This single rule converts the repair system from a fix register into a learning system.</w:t>
      </w:r>
    </w:p>
    <w:p>
      <w:pPr>
        <w:pStyle w:val="ListNumber"/>
        <w:spacing w:after="80"/>
      </w:pPr>
      <w:r>
        <w:rPr>
          <w:color w:val="404040"/>
          <w:sz w:val="20"/>
        </w:rPr>
        <w:t>Weekly engineering throughput review — never cancelled, especially not under pressure. The moments when leadership most wants to skip the review meeting are exactly the moments when it is most needed.</w:t>
      </w:r>
    </w:p>
    <w:p>
      <w:pPr>
        <w:spacing w:before="120" w:after="80"/>
      </w:pPr>
      <w:r>
        <w:rPr>
          <w:b/>
          <w:color w:val="1F3964"/>
          <w:sz w:val="26"/>
        </w:rPr>
        <w:t>Layer 2 — The Visible Cadence</w:t>
      </w:r>
    </w:p>
    <w:p>
      <w:pPr>
        <w:spacing w:after="80"/>
      </w:pPr>
      <w:r>
        <w:rPr>
          <w:b w:val="0"/>
          <w:i w:val="0"/>
          <w:color w:val="404040"/>
          <w:sz w:val="20"/>
        </w:rPr>
        <w:t>Governance that isn't visible isn't governance. Every team needs to know when the questions will be asked — and who will be asking them.</w:t>
      </w:r>
    </w:p>
    <w:tbl>
      <w:tblPr>
        <w:tblStyle w:val="TableGrid"/>
        <w:tblW w:type="auto" w:w="0"/>
        <w:tblLook w:firstColumn="1" w:firstRow="1" w:lastColumn="0" w:lastRow="0" w:noHBand="0" w:noVBand="1" w:val="04A0"/>
      </w:tblPr>
      <w:tblGrid>
        <w:gridCol w:w="2351"/>
        <w:gridCol w:w="2351"/>
        <w:gridCol w:w="2351"/>
        <w:gridCol w:w="2351"/>
      </w:tblGrid>
      <w:tr>
        <w:tc>
          <w:tcPr>
            <w:tcW w:type="dxa" w:w="1440"/>
            <w:shd w:val="clear" w:color="auto" w:fill="1F3964"/>
          </w:tcPr>
          <w:p>
            <w:r>
              <w:rPr>
                <w:b/>
                <w:color w:val="FFFFFF"/>
                <w:sz w:val="18"/>
              </w:rPr>
              <w:t>Frequency</w:t>
            </w:r>
          </w:p>
        </w:tc>
        <w:tc>
          <w:tcPr>
            <w:tcW w:type="dxa" w:w="2448"/>
            <w:shd w:val="clear" w:color="auto" w:fill="1F3964"/>
          </w:tcPr>
          <w:p>
            <w:r>
              <w:rPr>
                <w:b/>
                <w:color w:val="FFFFFF"/>
                <w:sz w:val="18"/>
              </w:rPr>
              <w:t>Forum</w:t>
            </w:r>
          </w:p>
        </w:tc>
        <w:tc>
          <w:tcPr>
            <w:tcW w:type="dxa" w:w="2448"/>
            <w:shd w:val="clear" w:color="auto" w:fill="1F3964"/>
          </w:tcPr>
          <w:p>
            <w:r>
              <w:rPr>
                <w:b/>
                <w:color w:val="FFFFFF"/>
                <w:sz w:val="18"/>
              </w:rPr>
              <w:t>Owner</w:t>
            </w:r>
          </w:p>
        </w:tc>
        <w:tc>
          <w:tcPr>
            <w:tcW w:type="dxa" w:w="2880"/>
            <w:shd w:val="clear" w:color="auto" w:fill="1F3964"/>
          </w:tcPr>
          <w:p>
            <w:r>
              <w:rPr>
                <w:b/>
                <w:color w:val="FFFFFF"/>
                <w:sz w:val="18"/>
              </w:rPr>
              <w:t>Core question</w:t>
            </w:r>
          </w:p>
        </w:tc>
      </w:tr>
      <w:tr>
        <w:tc>
          <w:tcPr>
            <w:tcW w:type="dxa" w:w="1440"/>
            <w:shd w:val="clear" w:color="auto" w:fill="D6E4F0"/>
          </w:tcPr>
          <w:p>
            <w:r>
              <w:rPr>
                <w:sz w:val="18"/>
              </w:rPr>
              <w:t>Daily</w:t>
            </w:r>
          </w:p>
        </w:tc>
        <w:tc>
          <w:tcPr>
            <w:tcW w:type="dxa" w:w="2448"/>
            <w:shd w:val="clear" w:color="auto" w:fill="D6E4F0"/>
          </w:tcPr>
          <w:p>
            <w:r>
              <w:rPr>
                <w:sz w:val="18"/>
              </w:rPr>
              <w:t>Cell floor review</w:t>
            </w:r>
          </w:p>
        </w:tc>
        <w:tc>
          <w:tcPr>
            <w:tcW w:type="dxa" w:w="2448"/>
            <w:shd w:val="clear" w:color="auto" w:fill="D6E4F0"/>
          </w:tcPr>
          <w:p>
            <w:r>
              <w:rPr>
                <w:sz w:val="18"/>
              </w:rPr>
              <w:t>Cell supervisors</w:t>
            </w:r>
          </w:p>
        </w:tc>
        <w:tc>
          <w:tcPr>
            <w:tcW w:type="dxa" w:w="2880"/>
            <w:shd w:val="clear" w:color="auto" w:fill="D6E4F0"/>
          </w:tcPr>
          <w:p>
            <w:r>
              <w:rPr>
                <w:sz w:val="18"/>
              </w:rPr>
              <w:t>What's late? What's at risk today?</w:t>
            </w:r>
          </w:p>
        </w:tc>
      </w:tr>
      <w:tr>
        <w:tc>
          <w:tcPr>
            <w:tcW w:type="dxa" w:w="1440"/>
            <w:shd w:val="clear" w:color="auto" w:fill="FFFFFF"/>
          </w:tcPr>
          <w:p>
            <w:r>
              <w:rPr>
                <w:sz w:val="18"/>
              </w:rPr>
              <w:t>Weekly</w:t>
            </w:r>
          </w:p>
        </w:tc>
        <w:tc>
          <w:tcPr>
            <w:tcW w:type="dxa" w:w="2448"/>
            <w:shd w:val="clear" w:color="auto" w:fill="FFFFFF"/>
          </w:tcPr>
          <w:p>
            <w:r>
              <w:rPr>
                <w:sz w:val="18"/>
              </w:rPr>
              <w:t>Engineering throughput review</w:t>
            </w:r>
          </w:p>
        </w:tc>
        <w:tc>
          <w:tcPr>
            <w:tcW w:type="dxa" w:w="2448"/>
            <w:shd w:val="clear" w:color="auto" w:fill="FFFFFF"/>
          </w:tcPr>
          <w:p>
            <w:r>
              <w:rPr>
                <w:sz w:val="18"/>
              </w:rPr>
              <w:t>Manufacturing Mgr + Eng leads</w:t>
            </w:r>
          </w:p>
        </w:tc>
        <w:tc>
          <w:tcPr>
            <w:tcW w:type="dxa" w:w="2880"/>
            <w:shd w:val="clear" w:color="auto" w:fill="FFFFFF"/>
          </w:tcPr>
          <w:p>
            <w:r>
              <w:rPr>
                <w:sz w:val="18"/>
              </w:rPr>
              <w:t>Jobs in, released, late — why?</w:t>
            </w:r>
          </w:p>
        </w:tc>
      </w:tr>
      <w:tr>
        <w:tc>
          <w:tcPr>
            <w:tcW w:type="dxa" w:w="1440"/>
            <w:shd w:val="clear" w:color="auto" w:fill="D6E4F0"/>
          </w:tcPr>
          <w:p>
            <w:r>
              <w:rPr>
                <w:sz w:val="18"/>
              </w:rPr>
              <w:t>Weekly</w:t>
            </w:r>
          </w:p>
        </w:tc>
        <w:tc>
          <w:tcPr>
            <w:tcW w:type="dxa" w:w="2448"/>
            <w:shd w:val="clear" w:color="auto" w:fill="D6E4F0"/>
          </w:tcPr>
          <w:p>
            <w:r>
              <w:rPr>
                <w:sz w:val="18"/>
              </w:rPr>
              <w:t>Open repair action review</w:t>
            </w:r>
          </w:p>
        </w:tc>
        <w:tc>
          <w:tcPr>
            <w:tcW w:type="dxa" w:w="2448"/>
            <w:shd w:val="clear" w:color="auto" w:fill="D6E4F0"/>
          </w:tcPr>
          <w:p>
            <w:r>
              <w:rPr>
                <w:sz w:val="18"/>
              </w:rPr>
              <w:t>After-Sales</w:t>
            </w:r>
          </w:p>
        </w:tc>
        <w:tc>
          <w:tcPr>
            <w:tcW w:type="dxa" w:w="2880"/>
            <w:shd w:val="clear" w:color="auto" w:fill="D6E4F0"/>
          </w:tcPr>
          <w:p>
            <w:r>
              <w:rPr>
                <w:sz w:val="18"/>
              </w:rPr>
              <w:t>Count by cell, age, over 30 days</w:t>
            </w:r>
          </w:p>
        </w:tc>
      </w:tr>
      <w:tr>
        <w:tc>
          <w:tcPr>
            <w:tcW w:type="dxa" w:w="1440"/>
            <w:shd w:val="clear" w:color="auto" w:fill="FFFFFF"/>
          </w:tcPr>
          <w:p>
            <w:r>
              <w:rPr>
                <w:sz w:val="18"/>
              </w:rPr>
              <w:t>Monthly</w:t>
            </w:r>
          </w:p>
        </w:tc>
        <w:tc>
          <w:tcPr>
            <w:tcW w:type="dxa" w:w="2448"/>
            <w:shd w:val="clear" w:color="auto" w:fill="FFFFFF"/>
          </w:tcPr>
          <w:p>
            <w:r>
              <w:rPr>
                <w:sz w:val="18"/>
              </w:rPr>
              <w:t>BSC traffic light</w:t>
            </w:r>
          </w:p>
        </w:tc>
        <w:tc>
          <w:tcPr>
            <w:tcW w:type="dxa" w:w="2448"/>
            <w:shd w:val="clear" w:color="auto" w:fill="FFFFFF"/>
          </w:tcPr>
          <w:p>
            <w:r>
              <w:rPr>
                <w:sz w:val="18"/>
              </w:rPr>
              <w:t>All dept heads</w:t>
            </w:r>
          </w:p>
        </w:tc>
        <w:tc>
          <w:tcPr>
            <w:tcW w:type="dxa" w:w="2880"/>
            <w:shd w:val="clear" w:color="auto" w:fill="FFFFFF"/>
          </w:tcPr>
          <w:p>
            <w:r>
              <w:rPr>
                <w:sz w:val="18"/>
              </w:rPr>
              <w:t>One page, RAG status, one action per red</w:t>
            </w:r>
          </w:p>
        </w:tc>
      </w:tr>
      <w:tr>
        <w:tc>
          <w:tcPr>
            <w:tcW w:type="dxa" w:w="1440"/>
            <w:shd w:val="clear" w:color="auto" w:fill="D6E4F0"/>
          </w:tcPr>
          <w:p>
            <w:r>
              <w:rPr>
                <w:sz w:val="18"/>
              </w:rPr>
              <w:t>Quarterly</w:t>
            </w:r>
          </w:p>
        </w:tc>
        <w:tc>
          <w:tcPr>
            <w:tcW w:type="dxa" w:w="2448"/>
            <w:shd w:val="clear" w:color="auto" w:fill="D6E4F0"/>
          </w:tcPr>
          <w:p>
            <w:r>
              <w:rPr>
                <w:sz w:val="18"/>
              </w:rPr>
              <w:t>Strategic review</w:t>
            </w:r>
          </w:p>
        </w:tc>
        <w:tc>
          <w:tcPr>
            <w:tcW w:type="dxa" w:w="2448"/>
            <w:shd w:val="clear" w:color="auto" w:fill="D6E4F0"/>
          </w:tcPr>
          <w:p>
            <w:r>
              <w:rPr>
                <w:sz w:val="18"/>
              </w:rPr>
              <w:t>CEO + leadership</w:t>
            </w:r>
          </w:p>
        </w:tc>
        <w:tc>
          <w:tcPr>
            <w:tcW w:type="dxa" w:w="2880"/>
            <w:shd w:val="clear" w:color="auto" w:fill="D6E4F0"/>
          </w:tcPr>
          <w:p>
            <w:r>
              <w:rPr>
                <w:sz w:val="18"/>
              </w:rPr>
              <w:t>Are the initiatives moving? What's blocked?</w:t>
            </w:r>
          </w:p>
        </w:tc>
      </w:tr>
    </w:tbl>
    <w:p/>
    <w:p>
      <w:pPr>
        <w:spacing w:after="80"/>
      </w:pPr>
      <w:r>
        <w:rPr>
          <w:b w:val="0"/>
          <w:i w:val="0"/>
          <w:color w:val="404040"/>
          <w:sz w:val="20"/>
        </w:rPr>
        <w:t>These meetings are not status updates. They are accountability forums. The output of each meeting is an action, an owner, and a due date.</w:t>
      </w:r>
    </w:p>
    <w:p>
      <w:pPr>
        <w:spacing w:before="120" w:after="80"/>
      </w:pPr>
      <w:r>
        <w:rPr>
          <w:b/>
          <w:color w:val="1F3964"/>
          <w:sz w:val="26"/>
        </w:rPr>
        <w:t>Layer 3 — Ownership With Consequence</w:t>
      </w:r>
    </w:p>
    <w:p>
      <w:pPr>
        <w:spacing w:after="80"/>
      </w:pPr>
      <w:r>
        <w:rPr>
          <w:b w:val="0"/>
          <w:i w:val="0"/>
          <w:color w:val="404040"/>
          <w:sz w:val="20"/>
        </w:rPr>
        <w:t>A KPI without a name is decoration.</w:t>
      </w:r>
    </w:p>
    <w:p>
      <w:pPr>
        <w:pStyle w:val="ListBullet"/>
        <w:spacing w:after="40"/>
      </w:pPr>
      <w:r>
        <w:rPr>
          <w:color w:val="404040"/>
          <w:sz w:val="20"/>
        </w:rPr>
        <w:t>Every KPI has a named owner — not a function, a person</w:t>
      </w:r>
    </w:p>
    <w:p>
      <w:pPr>
        <w:pStyle w:val="ListBullet"/>
        <w:spacing w:after="40"/>
      </w:pPr>
      <w:r>
        <w:rPr>
          <w:color w:val="404040"/>
          <w:sz w:val="20"/>
        </w:rPr>
        <w:t>The monthly BSC report is produced by the owner, not for them</w:t>
      </w:r>
    </w:p>
    <w:p>
      <w:pPr>
        <w:pStyle w:val="ListBullet"/>
        <w:spacing w:after="40"/>
      </w:pPr>
      <w:r>
        <w:rPr>
          <w:color w:val="404040"/>
          <w:sz w:val="20"/>
        </w:rPr>
        <w:t>Performance reviews ask two questions: did your KPIs move this year? What did you do when they didn't?</w:t>
      </w:r>
    </w:p>
    <w:p>
      <w:pPr>
        <w:pStyle w:val="ListBullet"/>
        <w:spacing w:after="40"/>
      </w:pPr>
      <w:r>
        <w:rPr>
          <w:color w:val="404040"/>
          <w:sz w:val="20"/>
        </w:rPr>
        <w:t>The CEO asks the same questions every month — consistency is the discipline signal</w:t>
      </w:r>
    </w:p>
    <w:p>
      <w:pPr>
        <w:spacing w:after="80"/>
      </w:pPr>
      <w:r>
        <w:rPr>
          <w:b w:val="0"/>
          <w:i w:val="0"/>
          <w:color w:val="404040"/>
          <w:sz w:val="20"/>
        </w:rPr>
        <w:t>When the CEO asks the same question every review cycle, it signals to the organisation that this is permanent, not a project. People adjust their behaviour to what leadership consistently measures.</w:t>
      </w:r>
    </w:p>
    <w:p>
      <w:pPr>
        <w:spacing w:before="120" w:after="80"/>
      </w:pPr>
      <w:r>
        <w:rPr>
          <w:b/>
          <w:color w:val="1F3964"/>
          <w:sz w:val="26"/>
        </w:rPr>
        <w:t>The CEO's Role in Holding the Standard</w:t>
      </w:r>
    </w:p>
    <w:p>
      <w:pPr>
        <w:spacing w:after="80"/>
      </w:pPr>
      <w:r>
        <w:rPr>
          <w:b w:val="0"/>
          <w:i w:val="0"/>
          <w:color w:val="404040"/>
          <w:sz w:val="20"/>
        </w:rPr>
        <w:t>The single most powerful governance lever in this business is the CEO asking the same questions every month and not accepting "we've been busy" as an answer. Everything else — the checklists, the reviews, the KPIs — is scaffolding. Leadership consistency is the structure.</w:t>
      </w:r>
    </w:p>
    <w:p>
      <w:pPr>
        <w:spacing w:after="80"/>
      </w:pPr>
      <w:r>
        <w:rPr>
          <w:b w:val="0"/>
          <w:i w:val="0"/>
          <w:color w:val="404040"/>
          <w:sz w:val="20"/>
        </w:rPr>
        <w:t>Specifically, this means:</w:t>
      </w:r>
    </w:p>
    <w:p>
      <w:pPr>
        <w:pStyle w:val="ListBullet"/>
        <w:spacing w:after="80"/>
      </w:pPr>
      <w:r>
        <w:rPr>
          <w:color w:val="404040"/>
          <w:sz w:val="20"/>
        </w:rPr>
        <w:t>When someone proposes skipping the release checklist because we're running late — the answer is no. The checklist exists for that moment.</w:t>
      </w:r>
    </w:p>
    <w:p>
      <w:pPr>
        <w:pStyle w:val="ListBullet"/>
        <w:spacing w:after="80"/>
      </w:pPr>
      <w:r>
        <w:rPr>
          <w:color w:val="404040"/>
          <w:sz w:val="20"/>
        </w:rPr>
        <w:t>When a KPI has been red for two months — the question is not "why is it red?" but "what has changed since last month?"</w:t>
      </w:r>
    </w:p>
    <w:p>
      <w:pPr>
        <w:pStyle w:val="ListBullet"/>
        <w:spacing w:after="80"/>
      </w:pPr>
      <w:r>
        <w:rPr>
          <w:color w:val="404040"/>
          <w:sz w:val="20"/>
        </w:rPr>
        <w:t>When an initiative stalls — a named owner is asked to explain what happened, not to submit a report about it</w:t>
      </w:r>
    </w:p>
    <w:p>
      <w:pPr>
        <w:spacing w:before="120" w:after="120"/>
        <w:ind w:left="432" w:right="432"/>
        <w:shd w:val="clear" w:color="auto" w:fill="D6E4F0"/>
      </w:pPr>
      <w:r>
        <w:rPr>
          <w:i/>
          <w:color w:val="1F3964"/>
          <w:sz w:val="20"/>
        </w:rPr>
        <w:t>The message the organisation needs to receive: we are building the infrastructure of a scalable business, and we are not stopping when it gets hard. The discipline we install in the next 12 months determines whether we are still talking about the same problems in 2028.</w:t>
      </w:r>
    </w:p>
    <w:p>
      <w:pPr>
        <w:spacing w:before="240" w:after="80"/>
      </w:pPr>
      <w:r>
        <w:rPr>
          <w:b/>
          <w:color w:val="1F3964"/>
          <w:sz w:val="32"/>
        </w:rPr>
        <w:t>Building a Culture of Ownership — Leadership Behaviour</w:t>
      </w:r>
    </w:p>
    <w:p>
      <w:pPr>
        <w:spacing w:before="40" w:after="40"/>
      </w:pPr>
      <w:r>
        <w:rPr>
          <w:color w:val="BDBDBD"/>
          <w:sz w:val="16"/>
        </w:rPr>
        <w:t>────────────────────────────────────────────────────────────────────────────────</w:t>
      </w:r>
    </w:p>
    <w:p>
      <w:pPr>
        <w:spacing w:after="80"/>
      </w:pPr>
      <w:r>
        <w:rPr>
          <w:b w:val="0"/>
          <w:i w:val="0"/>
          <w:color w:val="404040"/>
          <w:sz w:val="20"/>
        </w:rPr>
        <w:t>There is a second governance challenge that sits alongside the structural one. The CEO has identified that people are not taking control of their workplaces and teams at the level the business now requires. This is a leadership behaviour problem — and paradoxically, strong leadership at the top is often the cause of it.</w:t>
      </w:r>
    </w:p>
    <w:p>
      <w:pPr>
        <w:spacing w:before="120" w:after="80"/>
      </w:pPr>
      <w:r>
        <w:rPr>
          <w:b/>
          <w:color w:val="1F3964"/>
          <w:sz w:val="26"/>
        </w:rPr>
        <w:t>Why This Happens</w:t>
      </w:r>
    </w:p>
    <w:p>
      <w:pPr>
        <w:pStyle w:val="ListBullet"/>
        <w:spacing w:after="80"/>
      </w:pPr>
      <w:r>
        <w:rPr>
          <w:b/>
          <w:color w:val="1F3964"/>
          <w:sz w:val="20"/>
        </w:rPr>
        <w:t xml:space="preserve">The shadow of the leader — </w:t>
      </w:r>
      <w:r>
        <w:rPr>
          <w:color w:val="404040"/>
          <w:sz w:val="20"/>
        </w:rPr>
        <w:t>When a strong CEO consistently has the best answer and makes fast decisions, people unconsciously learn to wait. Being corrected enough times — even with the best intentions — teaches that deferring is safer than deciding.</w:t>
      </w:r>
    </w:p>
    <w:p>
      <w:pPr>
        <w:pStyle w:val="ListBullet"/>
        <w:spacing w:after="80"/>
      </w:pPr>
      <w:r>
        <w:rPr>
          <w:b/>
          <w:color w:val="1F3964"/>
          <w:sz w:val="20"/>
        </w:rPr>
        <w:t xml:space="preserve">Decision rights are unclear — </w:t>
      </w:r>
      <w:r>
        <w:rPr>
          <w:color w:val="404040"/>
          <w:sz w:val="20"/>
        </w:rPr>
        <w:t>If people don't know where their authority ends and the CEO's begins, they escalate everything upward to be safe. They're not being passive — they're being sensible given the rules they've inferred.</w:t>
      </w:r>
    </w:p>
    <w:p>
      <w:pPr>
        <w:pStyle w:val="ListBullet"/>
        <w:spacing w:after="80"/>
      </w:pPr>
      <w:r>
        <w:rPr>
          <w:b/>
          <w:color w:val="1F3964"/>
          <w:sz w:val="20"/>
        </w:rPr>
        <w:t xml:space="preserve">No consequence for not deciding — </w:t>
      </w:r>
      <w:r>
        <w:rPr>
          <w:color w:val="404040"/>
          <w:sz w:val="20"/>
        </w:rPr>
        <w:t>If the CEO will eventually make the call anyway, there is no cost to waiting. The absence of consequence trains the behaviour over time.</w:t>
      </w:r>
    </w:p>
    <w:p>
      <w:pPr>
        <w:pStyle w:val="ListBullet"/>
        <w:spacing w:after="80"/>
      </w:pPr>
      <w:r>
        <w:rPr>
          <w:b/>
          <w:color w:val="1F3964"/>
          <w:sz w:val="20"/>
        </w:rPr>
        <w:t xml:space="preserve">Fear of the standard, not the person — </w:t>
      </w:r>
      <w:r>
        <w:rPr>
          <w:color w:val="404040"/>
          <w:sz w:val="20"/>
        </w:rPr>
        <w:t>In a culture that cares deeply about quality, people may hesitate to act because they're not confident they'll meet the standard. Better to do nothing than to do it wrong in front of someone who cares.</w:t>
      </w:r>
    </w:p>
    <w:p>
      <w:pPr>
        <w:pStyle w:val="ListBullet"/>
        <w:spacing w:after="80"/>
      </w:pPr>
      <w:r>
        <w:rPr>
          <w:b/>
          <w:color w:val="1F3964"/>
          <w:sz w:val="20"/>
        </w:rPr>
        <w:t xml:space="preserve">Growth outpaced role clarity — </w:t>
      </w:r>
      <w:r>
        <w:rPr>
          <w:color w:val="404040"/>
          <w:sz w:val="20"/>
        </w:rPr>
        <w:t>The business doubled in 2.5 years. People who were "just getting it done" in a smaller team now manage teams and workplaces — but their muscle memory is still individual contributor. No one formally gave them the authority signal.</w:t>
      </w:r>
    </w:p>
    <w:p>
      <w:pPr>
        <w:spacing w:before="120" w:after="80"/>
      </w:pPr>
      <w:r>
        <w:rPr>
          <w:b/>
          <w:color w:val="1F3964"/>
          <w:sz w:val="26"/>
        </w:rPr>
        <w:t>The Change Pathway — Six Steps in Order</w:t>
      </w:r>
    </w:p>
    <w:p>
      <w:pPr>
        <w:pStyle w:val="ListNumber"/>
        <w:spacing w:after="120"/>
      </w:pPr>
      <w:r>
        <w:rPr>
          <w:b/>
          <w:color w:val="1F3964"/>
          <w:sz w:val="20"/>
        </w:rPr>
        <w:t>Step 1 — The CEO stops answering questions they should be asking back</w:t>
        <w:br/>
      </w:r>
      <w:r>
        <w:rPr>
          <w:color w:val="404040"/>
          <w:sz w:val="20"/>
        </w:rPr>
        <w:t>When someone brings a problem upward, the response changes from "here's what I'd do" to "what do you think we should do?" This will feel slower. It is the most important lever. Every time the CEO solves a problem that someone else should own, it withdraws a unit of that person's confidence.</w:t>
      </w:r>
    </w:p>
    <w:p>
      <w:pPr>
        <w:pStyle w:val="ListNumber"/>
        <w:spacing w:after="120"/>
      </w:pPr>
      <w:r>
        <w:rPr>
          <w:b/>
          <w:color w:val="1F3964"/>
          <w:sz w:val="20"/>
        </w:rPr>
        <w:t>Step 2 — Make decision rights explicit</w:t>
        <w:br/>
      </w:r>
      <w:r>
        <w:rPr>
          <w:color w:val="404040"/>
          <w:sz w:val="20"/>
        </w:rPr>
        <w:t>For each leadership role, define: what can you decide alone, what do you consult on, what do you escalate? A one-page authority map per role is sufficient. People need to know that acting within their domain is not just permitted — it is expected.</w:t>
      </w:r>
    </w:p>
    <w:p>
      <w:pPr>
        <w:pStyle w:val="ListNumber"/>
        <w:spacing w:after="120"/>
      </w:pPr>
      <w:r>
        <w:rPr>
          <w:b/>
          <w:color w:val="1F3964"/>
          <w:sz w:val="20"/>
        </w:rPr>
        <w:t>Step 3 — Let people own failures inside a boundary</w:t>
        <w:br/>
      </w:r>
      <w:r>
        <w:rPr>
          <w:color w:val="404040"/>
          <w:sz w:val="20"/>
        </w:rPr>
        <w:t>A team leader who makes a call that doesn't work out perfectly needs to experience the CEO backing their right to have made it, while coaching the quality of the decision. If the response to a mistake is the CEO taking over, the lesson learned is: don't decide.</w:t>
      </w:r>
    </w:p>
    <w:p>
      <w:pPr>
        <w:pStyle w:val="ListNumber"/>
        <w:spacing w:after="120"/>
      </w:pPr>
      <w:r>
        <w:rPr>
          <w:b/>
          <w:color w:val="1F3964"/>
          <w:sz w:val="20"/>
        </w:rPr>
        <w:t>Step 4 — KPI ownership creates the accountability reflex</w:t>
        <w:br/>
      </w:r>
      <w:r>
        <w:rPr>
          <w:color w:val="404040"/>
          <w:sz w:val="20"/>
        </w:rPr>
        <w:t>The monthly BSC report produced by the owner — not for them — is exactly the right mechanism. When someone has to stand in front of the room and explain their number, they begin to feel genuine ownership. This takes 2–3 cycles to embed.</w:t>
      </w:r>
    </w:p>
    <w:p>
      <w:pPr>
        <w:pStyle w:val="ListNumber"/>
        <w:spacing w:after="120"/>
      </w:pPr>
      <w:r>
        <w:rPr>
          <w:b/>
          <w:color w:val="1F3964"/>
          <w:sz w:val="20"/>
        </w:rPr>
        <w:t>Step 5 — Performance reviews ask the right questions</w:t>
        <w:br/>
      </w:r>
      <w:r>
        <w:rPr>
          <w:color w:val="404040"/>
          <w:sz w:val="20"/>
        </w:rPr>
        <w:t>"What decisions did you make this year that you're proud of? What would you do differently?" This signals that deciding is part of the job description — not just delivering outcomes when directed.</w:t>
      </w:r>
    </w:p>
    <w:p>
      <w:pPr>
        <w:pStyle w:val="ListNumber"/>
        <w:spacing w:after="120"/>
      </w:pPr>
      <w:r>
        <w:rPr>
          <w:b/>
          <w:color w:val="1F3964"/>
          <w:sz w:val="20"/>
        </w:rPr>
        <w:t>Step 6 — Visible praise for initiative, not just results</w:t>
        <w:br/>
      </w:r>
      <w:r>
        <w:rPr>
          <w:color w:val="404040"/>
          <w:sz w:val="20"/>
        </w:rPr>
        <w:t>When someone takes charge of something without being asked — even imperfectly — name it publicly. The culture needs to see that the CEO values the act of ownership, not only perfect outcomes.</w:t>
      </w:r>
    </w:p>
    <w:p>
      <w:pPr>
        <w:spacing w:before="120" w:after="80"/>
      </w:pPr>
      <w:r>
        <w:rPr>
          <w:b/>
          <w:color w:val="1F3964"/>
          <w:sz w:val="26"/>
        </w:rPr>
        <w:t>The Honest Message</w:t>
      </w:r>
    </w:p>
    <w:p>
      <w:pPr>
        <w:spacing w:after="80"/>
      </w:pPr>
      <w:r>
        <w:rPr>
          <w:b w:val="0"/>
          <w:i w:val="0"/>
          <w:color w:val="404040"/>
          <w:sz w:val="20"/>
        </w:rPr>
        <w:t>The strongest signal a CEO can send is to visibly not decide things they could decide. When the team sees the CEO say "that's [name]'s call — what did you decide?" in a group setting, the whole room recalibrates. It takes consistent repetition over months, not a single speech about empowerment.</w:t>
      </w:r>
    </w:p>
    <w:p>
      <w:pPr>
        <w:spacing w:after="80"/>
      </w:pPr>
      <w:r>
        <w:rPr>
          <w:b w:val="0"/>
          <w:i w:val="0"/>
          <w:color w:val="404040"/>
          <w:sz w:val="20"/>
        </w:rPr>
        <w:t>A CEO strong enough to build a great culture is sometimes strong enough to accidentally suppress the initiative that culture needs to scale. The next leadership skill is learning which decisions to give away permanently — and then genuinely not taking them back.</w:t>
      </w:r>
    </w:p>
    <w:p>
      <w:pPr>
        <w:spacing w:before="120" w:after="120"/>
        <w:ind w:left="432" w:right="432"/>
        <w:shd w:val="clear" w:color="auto" w:fill="D6E4F0"/>
      </w:pPr>
      <w:r>
        <w:rPr>
          <w:i/>
          <w:color w:val="1F3964"/>
          <w:sz w:val="20"/>
        </w:rPr>
        <w:t>"The goal is not a business that runs because the CEO is in the room. The goal is a business that runs because the right people own the right things — and know it."</w:t>
      </w:r>
    </w:p>
    <w:p>
      <w:pPr>
        <w:spacing w:before="240" w:after="80"/>
      </w:pPr>
      <w:r>
        <w:rPr>
          <w:b/>
          <w:color w:val="1F3964"/>
          <w:sz w:val="32"/>
        </w:rPr>
        <w:t>The 3-Year Vision (2027–2029)</w:t>
      </w:r>
    </w:p>
    <w:p>
      <w:pPr>
        <w:spacing w:before="120" w:after="80"/>
      </w:pPr>
      <w:r>
        <w:rPr>
          <w:b/>
          <w:color w:val="1F3964"/>
          <w:sz w:val="26"/>
        </w:rPr>
        <w:t>"The Scalable Business"</w:t>
      </w:r>
    </w:p>
    <w:p>
      <w:pPr>
        <w:spacing w:before="40" w:after="40"/>
      </w:pPr>
      <w:r>
        <w:rPr>
          <w:color w:val="BDBDBD"/>
          <w:sz w:val="16"/>
        </w:rPr>
        <w:t>────────────────────────────────────────────────────────────────────────────────</w:t>
      </w:r>
    </w:p>
    <w:p>
      <w:pPr>
        <w:spacing w:after="80"/>
      </w:pPr>
      <w:r>
        <w:rPr>
          <w:b w:val="0"/>
          <w:i w:val="0"/>
          <w:color w:val="404040"/>
          <w:sz w:val="20"/>
        </w:rPr>
        <w:t>By June 2029 we should be able to answer yes to all of these:</w:t>
      </w:r>
    </w:p>
    <w:p>
      <w:pPr>
        <w:pStyle w:val="ListBullet"/>
        <w:spacing w:after="40"/>
      </w:pPr>
      <w:r>
        <w:rPr>
          <w:color w:val="404040"/>
          <w:sz w:val="20"/>
        </w:rPr>
        <w:t>Can we onboard a new $20M contract without the organisation straining?</w:t>
      </w:r>
    </w:p>
    <w:p>
      <w:pPr>
        <w:pStyle w:val="ListBullet"/>
        <w:spacing w:after="40"/>
      </w:pPr>
      <w:r>
        <w:rPr>
          <w:color w:val="404040"/>
          <w:sz w:val="20"/>
        </w:rPr>
        <w:t>Does our error rate stay flat when volume surges?</w:t>
      </w:r>
    </w:p>
    <w:p>
      <w:pPr>
        <w:pStyle w:val="ListBullet"/>
        <w:spacing w:after="40"/>
      </w:pPr>
      <w:r>
        <w:rPr>
          <w:color w:val="404040"/>
          <w:sz w:val="20"/>
        </w:rPr>
        <w:t>Does engineering accelerate the business rather than constrain it?</w:t>
      </w:r>
    </w:p>
    <w:p>
      <w:pPr>
        <w:pStyle w:val="ListBullet"/>
        <w:spacing w:after="40"/>
      </w:pPr>
      <w:r>
        <w:rPr>
          <w:color w:val="404040"/>
          <w:sz w:val="20"/>
        </w:rPr>
        <w:t>Do we have a repeatable engineering process a new engineer can follow from day one?</w:t>
      </w:r>
    </w:p>
    <w:p>
      <w:pPr>
        <w:pStyle w:val="ListBullet"/>
        <w:spacing w:after="40"/>
      </w:pPr>
      <w:r>
        <w:rPr>
          <w:color w:val="404040"/>
          <w:sz w:val="20"/>
        </w:rPr>
        <w:t>Is our customer-discovered defect rate trending toward zero?</w:t>
      </w:r>
    </w:p>
    <w:p>
      <w:pPr>
        <w:pStyle w:val="ListBullet"/>
        <w:spacing w:after="40"/>
      </w:pPr>
      <w:r>
        <w:rPr>
          <w:color w:val="404040"/>
          <w:sz w:val="20"/>
        </w:rPr>
        <w:t>Are we a meaningful player in the mining fuel vehicle market?</w:t>
      </w:r>
    </w:p>
    <w:p>
      <w:pPr>
        <w:pStyle w:val="ListBullet"/>
        <w:spacing w:after="40"/>
      </w:pPr>
      <w:r>
        <w:rPr>
          <w:color w:val="404040"/>
          <w:sz w:val="20"/>
        </w:rPr>
        <w:t>Is throughput per head trending up?</w:t>
      </w:r>
    </w:p>
    <w:p>
      <w:pPr>
        <w:spacing w:after="80"/>
      </w:pPr>
      <w:r>
        <w:rPr>
          <w:b/>
          <w:i w:val="0"/>
          <w:color w:val="404040"/>
          <w:sz w:val="20"/>
        </w:rPr>
        <w:t>Revenue ambition: If current trajectory holds, $140–180M AUD is achievable by 2029 — but only if First Pass Business is solved. Rework at scale is a margin killer and a capacity thief.</w:t>
      </w:r>
    </w:p>
    <w:p>
      <w:pPr>
        <w:spacing w:before="120" w:after="80"/>
      </w:pPr>
      <w:r>
        <w:rPr>
          <w:b/>
          <w:color w:val="1F3964"/>
          <w:sz w:val="26"/>
        </w:rPr>
        <w:t>Three-Year Pillars</w:t>
      </w:r>
    </w:p>
    <w:p>
      <w:pPr>
        <w:spacing w:before="120" w:after="80"/>
      </w:pPr>
      <w:r>
        <w:rPr>
          <w:b/>
          <w:color w:val="1F3964"/>
          <w:sz w:val="22"/>
        </w:rPr>
        <w:t>Pillar 1 — Engineering as Competitive Advantage</w:t>
      </w:r>
    </w:p>
    <w:p>
      <w:pPr>
        <w:spacing w:after="80"/>
      </w:pPr>
      <w:r>
        <w:rPr>
          <w:b w:val="0"/>
          <w:i w:val="0"/>
          <w:color w:val="404040"/>
          <w:sz w:val="20"/>
        </w:rPr>
        <w:t>By 2029, engineering should be a reason customers choose us — faster turnaround, fewer production queries, more innovative product. Fix the basics in year one. A disciplined engineering function that releases complete, accurate packages on time is the foundation of everything else.</w:t>
      </w:r>
    </w:p>
    <w:p>
      <w:pPr>
        <w:spacing w:before="120" w:after="80"/>
      </w:pPr>
      <w:r>
        <w:rPr>
          <w:b/>
          <w:color w:val="1F3964"/>
          <w:sz w:val="22"/>
        </w:rPr>
        <w:t>Pillar 2 — Systems that Scale</w:t>
      </w:r>
    </w:p>
    <w:p>
      <w:pPr>
        <w:spacing w:after="80"/>
      </w:pPr>
      <w:r>
        <w:rPr>
          <w:b w:val="0"/>
          <w:i w:val="0"/>
          <w:color w:val="404040"/>
          <w:sz w:val="20"/>
        </w:rPr>
        <w:t>Move from people-dependent to process-dependent. Invest in the systems that let 160 people do the work of 220. The costing and allocation bottleneck and the absence of root cause data are the first indicators that our systems haven't scaled with volume.</w:t>
      </w:r>
    </w:p>
    <w:p>
      <w:pPr>
        <w:spacing w:before="120" w:after="80"/>
      </w:pPr>
      <w:r>
        <w:rPr>
          <w:b/>
          <w:color w:val="1F3964"/>
          <w:sz w:val="22"/>
        </w:rPr>
        <w:t>Pillar 3 — Controlled Market Expansion</w:t>
      </w:r>
    </w:p>
    <w:p>
      <w:pPr>
        <w:spacing w:after="80"/>
      </w:pPr>
      <w:r>
        <w:rPr>
          <w:b w:val="0"/>
          <w:i w:val="0"/>
          <w:color w:val="404040"/>
          <w:sz w:val="20"/>
        </w:rPr>
        <w:t>Fuel tankers and aviation refuellers remain the core. Mining fuel trucks are a natural adjacency — similar product, different compliance environment, different customer. By 2027 we should have assessed this market seriously and made a deliberate go/no-go decision.</w:t>
      </w:r>
    </w:p>
    <w:p>
      <w:pPr>
        <w:spacing w:before="240" w:after="80"/>
      </w:pPr>
      <w:r>
        <w:rPr>
          <w:b/>
          <w:color w:val="1F3964"/>
          <w:sz w:val="32"/>
        </w:rPr>
        <w:t>KPI Framework</w:t>
      </w:r>
    </w:p>
    <w:p>
      <w:pPr>
        <w:spacing w:before="40" w:after="40"/>
      </w:pPr>
      <w:r>
        <w:rPr>
          <w:color w:val="BDBDBD"/>
          <w:sz w:val="16"/>
        </w:rPr>
        <w:t>────────────────────────────────────────────────────────────────────────────────</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1F3964"/>
          </w:tcPr>
          <w:p>
            <w:r>
              <w:rPr>
                <w:b/>
                <w:color w:val="FFFFFF"/>
                <w:sz w:val="18"/>
              </w:rPr>
              <w:t>Strategic Objective</w:t>
            </w:r>
          </w:p>
        </w:tc>
        <w:tc>
          <w:tcPr>
            <w:tcW w:type="dxa" w:w="4032"/>
            <w:shd w:val="clear" w:color="auto" w:fill="1F3964"/>
          </w:tcPr>
          <w:p>
            <w:r>
              <w:rPr>
                <w:b/>
                <w:color w:val="FFFFFF"/>
                <w:sz w:val="18"/>
              </w:rPr>
              <w:t>KPI</w:t>
            </w:r>
          </w:p>
        </w:tc>
        <w:tc>
          <w:tcPr>
            <w:tcW w:type="dxa" w:w="2592"/>
            <w:shd w:val="clear" w:color="auto" w:fill="1F3964"/>
          </w:tcPr>
          <w:p>
            <w:r>
              <w:rPr>
                <w:b/>
                <w:color w:val="FFFFFF"/>
                <w:sz w:val="18"/>
              </w:rPr>
              <w:t>Target</w:t>
            </w:r>
          </w:p>
        </w:tc>
      </w:tr>
      <w:tr>
        <w:tc>
          <w:tcPr>
            <w:tcW w:type="dxa" w:w="2880"/>
            <w:shd w:val="clear" w:color="auto" w:fill="D6E4F0"/>
          </w:tcPr>
          <w:p>
            <w:r>
              <w:rPr>
                <w:sz w:val="18"/>
              </w:rPr>
              <w:t>Hunting on the Front Foot</w:t>
            </w:r>
          </w:p>
        </w:tc>
        <w:tc>
          <w:tcPr>
            <w:tcW w:type="dxa" w:w="4032"/>
            <w:shd w:val="clear" w:color="auto" w:fill="D6E4F0"/>
          </w:tcPr>
          <w:p>
            <w:r>
              <w:rPr>
                <w:sz w:val="18"/>
              </w:rPr>
              <w:t>Qualified pipeline value ($)</w:t>
            </w:r>
          </w:p>
        </w:tc>
        <w:tc>
          <w:tcPr>
            <w:tcW w:type="dxa" w:w="2592"/>
            <w:shd w:val="clear" w:color="auto" w:fill="D6E4F0"/>
          </w:tcPr>
          <w:p>
            <w:r>
              <w:rPr>
                <w:sz w:val="18"/>
              </w:rPr>
              <w:t>Increase QoQ</w:t>
            </w:r>
          </w:p>
        </w:tc>
      </w:tr>
      <w:tr>
        <w:tc>
          <w:tcPr>
            <w:tcW w:type="dxa" w:w="2880"/>
            <w:shd w:val="clear" w:color="auto" w:fill="FFFFFF"/>
          </w:tcPr>
          <w:p>
            <w:r>
              <w:rPr>
                <w:sz w:val="18"/>
              </w:rPr>
            </w:r>
          </w:p>
        </w:tc>
        <w:tc>
          <w:tcPr>
            <w:tcW w:type="dxa" w:w="4032"/>
            <w:shd w:val="clear" w:color="auto" w:fill="FFFFFF"/>
          </w:tcPr>
          <w:p>
            <w:r>
              <w:rPr>
                <w:sz w:val="18"/>
              </w:rPr>
              <w:t>Quote-to-order conversion rate (%)</w:t>
            </w:r>
          </w:p>
        </w:tc>
        <w:tc>
          <w:tcPr>
            <w:tcW w:type="dxa" w:w="2592"/>
            <w:shd w:val="clear" w:color="auto" w:fill="FFFFFF"/>
          </w:tcPr>
          <w:p>
            <w:r>
              <w:rPr>
                <w:sz w:val="18"/>
              </w:rPr>
              <w:t>Baseline + improve</w:t>
            </w:r>
          </w:p>
        </w:tc>
      </w:tr>
      <w:tr>
        <w:tc>
          <w:tcPr>
            <w:tcW w:type="dxa" w:w="2880"/>
            <w:shd w:val="clear" w:color="auto" w:fill="D6E4F0"/>
          </w:tcPr>
          <w:p>
            <w:r>
              <w:rPr>
                <w:sz w:val="18"/>
              </w:rPr>
            </w:r>
          </w:p>
        </w:tc>
        <w:tc>
          <w:tcPr>
            <w:tcW w:type="dxa" w:w="4032"/>
            <w:shd w:val="clear" w:color="auto" w:fill="D6E4F0"/>
          </w:tcPr>
          <w:p>
            <w:r>
              <w:rPr>
                <w:sz w:val="18"/>
              </w:rPr>
              <w:t>New customer revenue as % of total</w:t>
            </w:r>
          </w:p>
        </w:tc>
        <w:tc>
          <w:tcPr>
            <w:tcW w:type="dxa" w:w="2592"/>
            <w:shd w:val="clear" w:color="auto" w:fill="D6E4F0"/>
          </w:tcPr>
          <w:p>
            <w:r>
              <w:rPr>
                <w:sz w:val="18"/>
              </w:rPr>
              <w:t>Increase</w:t>
            </w:r>
          </w:p>
        </w:tc>
      </w:tr>
      <w:tr>
        <w:tc>
          <w:tcPr>
            <w:tcW w:type="dxa" w:w="2880"/>
            <w:shd w:val="clear" w:color="auto" w:fill="FFFFFF"/>
          </w:tcPr>
          <w:p>
            <w:r>
              <w:rPr>
                <w:sz w:val="18"/>
              </w:rPr>
              <w:t>First Pass Business</w:t>
            </w:r>
          </w:p>
        </w:tc>
        <w:tc>
          <w:tcPr>
            <w:tcW w:type="dxa" w:w="4032"/>
            <w:shd w:val="clear" w:color="auto" w:fill="FFFFFF"/>
          </w:tcPr>
          <w:p>
            <w:r>
              <w:rPr>
                <w:sz w:val="18"/>
              </w:rPr>
              <w:t>Engineering on-time release rate (%)</w:t>
            </w:r>
          </w:p>
        </w:tc>
        <w:tc>
          <w:tcPr>
            <w:tcW w:type="dxa" w:w="2592"/>
            <w:shd w:val="clear" w:color="auto" w:fill="FFFFFF"/>
          </w:tcPr>
          <w:p>
            <w:r>
              <w:rPr>
                <w:sz w:val="18"/>
              </w:rPr>
              <w:t>85% @ 6mo, 95% @ 12mo</w:t>
            </w:r>
          </w:p>
        </w:tc>
      </w:tr>
      <w:tr>
        <w:tc>
          <w:tcPr>
            <w:tcW w:type="dxa" w:w="2880"/>
            <w:shd w:val="clear" w:color="auto" w:fill="D6E4F0"/>
          </w:tcPr>
          <w:p>
            <w:r>
              <w:rPr>
                <w:sz w:val="18"/>
              </w:rPr>
            </w:r>
          </w:p>
        </w:tc>
        <w:tc>
          <w:tcPr>
            <w:tcW w:type="dxa" w:w="4032"/>
            <w:shd w:val="clear" w:color="auto" w:fill="D6E4F0"/>
          </w:tcPr>
          <w:p>
            <w:r>
              <w:rPr>
                <w:sz w:val="18"/>
              </w:rPr>
              <w:t>BOM-originated production stops (count)</w:t>
            </w:r>
          </w:p>
        </w:tc>
        <w:tc>
          <w:tcPr>
            <w:tcW w:type="dxa" w:w="2592"/>
            <w:shd w:val="clear" w:color="auto" w:fill="D6E4F0"/>
          </w:tcPr>
          <w:p>
            <w:r>
              <w:rPr>
                <w:sz w:val="18"/>
              </w:rPr>
              <w:t>Trending to zero within 12mo</w:t>
            </w:r>
          </w:p>
        </w:tc>
      </w:tr>
      <w:tr>
        <w:tc>
          <w:tcPr>
            <w:tcW w:type="dxa" w:w="2880"/>
            <w:shd w:val="clear" w:color="auto" w:fill="FFFFFF"/>
          </w:tcPr>
          <w:p>
            <w:r>
              <w:rPr>
                <w:sz w:val="18"/>
              </w:rPr>
            </w:r>
          </w:p>
        </w:tc>
        <w:tc>
          <w:tcPr>
            <w:tcW w:type="dxa" w:w="4032"/>
            <w:shd w:val="clear" w:color="auto" w:fill="FFFFFF"/>
          </w:tcPr>
          <w:p>
            <w:r>
              <w:rPr>
                <w:sz w:val="18"/>
              </w:rPr>
              <w:t>Repair actions per job (avg)</w:t>
            </w:r>
          </w:p>
        </w:tc>
        <w:tc>
          <w:tcPr>
            <w:tcW w:type="dxa" w:w="2592"/>
            <w:shd w:val="clear" w:color="auto" w:fill="FFFFFF"/>
          </w:tcPr>
          <w:p>
            <w:r>
              <w:rPr>
                <w:sz w:val="18"/>
              </w:rPr>
              <w:t>Reduce 50% within 12mo</w:t>
            </w:r>
          </w:p>
        </w:tc>
      </w:tr>
      <w:tr>
        <w:tc>
          <w:tcPr>
            <w:tcW w:type="dxa" w:w="2880"/>
            <w:shd w:val="clear" w:color="auto" w:fill="D6E4F0"/>
          </w:tcPr>
          <w:p>
            <w:r>
              <w:rPr>
                <w:sz w:val="18"/>
              </w:rPr>
            </w:r>
          </w:p>
        </w:tc>
        <w:tc>
          <w:tcPr>
            <w:tcW w:type="dxa" w:w="4032"/>
            <w:shd w:val="clear" w:color="auto" w:fill="D6E4F0"/>
          </w:tcPr>
          <w:p>
            <w:r>
              <w:rPr>
                <w:sz w:val="18"/>
              </w:rPr>
              <w:t>Customer-discovered defects (count)</w:t>
            </w:r>
          </w:p>
        </w:tc>
        <w:tc>
          <w:tcPr>
            <w:tcW w:type="dxa" w:w="2592"/>
            <w:shd w:val="clear" w:color="auto" w:fill="D6E4F0"/>
          </w:tcPr>
          <w:p>
            <w:r>
              <w:rPr>
                <w:sz w:val="18"/>
              </w:rPr>
              <w:t>Reduce — target &lt;50 per year</w:t>
            </w:r>
          </w:p>
        </w:tc>
      </w:tr>
      <w:tr>
        <w:tc>
          <w:tcPr>
            <w:tcW w:type="dxa" w:w="2880"/>
            <w:shd w:val="clear" w:color="auto" w:fill="FFFFFF"/>
          </w:tcPr>
          <w:p>
            <w:r>
              <w:rPr>
                <w:sz w:val="18"/>
              </w:rPr>
            </w:r>
          </w:p>
        </w:tc>
        <w:tc>
          <w:tcPr>
            <w:tcW w:type="dxa" w:w="4032"/>
            <w:shd w:val="clear" w:color="auto" w:fill="FFFFFF"/>
          </w:tcPr>
          <w:p>
            <w:r>
              <w:rPr>
                <w:sz w:val="18"/>
              </w:rPr>
              <w:t>Root cause closure rate (%)</w:t>
            </w:r>
          </w:p>
        </w:tc>
        <w:tc>
          <w:tcPr>
            <w:tcW w:type="dxa" w:w="2592"/>
            <w:shd w:val="clear" w:color="auto" w:fill="FFFFFF"/>
          </w:tcPr>
          <w:p>
            <w:r>
              <w:rPr>
                <w:sz w:val="18"/>
              </w:rPr>
              <w:t>100% within 3mo</w:t>
            </w:r>
          </w:p>
        </w:tc>
      </w:tr>
      <w:tr>
        <w:tc>
          <w:tcPr>
            <w:tcW w:type="dxa" w:w="2880"/>
            <w:shd w:val="clear" w:color="auto" w:fill="D6E4F0"/>
          </w:tcPr>
          <w:p>
            <w:r>
              <w:rPr>
                <w:sz w:val="18"/>
              </w:rPr>
            </w:r>
          </w:p>
        </w:tc>
        <w:tc>
          <w:tcPr>
            <w:tcW w:type="dxa" w:w="4032"/>
            <w:shd w:val="clear" w:color="auto" w:fill="D6E4F0"/>
          </w:tcPr>
          <w:p>
            <w:r>
              <w:rPr>
                <w:sz w:val="18"/>
              </w:rPr>
              <w:t>On-time delivery to customer (%)</w:t>
            </w:r>
          </w:p>
        </w:tc>
        <w:tc>
          <w:tcPr>
            <w:tcW w:type="dxa" w:w="2592"/>
            <w:shd w:val="clear" w:color="auto" w:fill="D6E4F0"/>
          </w:tcPr>
          <w:p>
            <w:r>
              <w:rPr>
                <w:sz w:val="18"/>
              </w:rPr>
              <w:t>Baseline + improve</w:t>
            </w:r>
          </w:p>
        </w:tc>
      </w:tr>
      <w:tr>
        <w:tc>
          <w:tcPr>
            <w:tcW w:type="dxa" w:w="2880"/>
            <w:shd w:val="clear" w:color="auto" w:fill="FFFFFF"/>
          </w:tcPr>
          <w:p>
            <w:r>
              <w:rPr>
                <w:sz w:val="18"/>
              </w:rPr>
              <w:t>Increase Throughput</w:t>
            </w:r>
          </w:p>
        </w:tc>
        <w:tc>
          <w:tcPr>
            <w:tcW w:type="dxa" w:w="4032"/>
            <w:shd w:val="clear" w:color="auto" w:fill="FFFFFF"/>
          </w:tcPr>
          <w:p>
            <w:r>
              <w:rPr>
                <w:sz w:val="18"/>
              </w:rPr>
              <w:t>Revenue per head ($)</w:t>
            </w:r>
          </w:p>
        </w:tc>
        <w:tc>
          <w:tcPr>
            <w:tcW w:type="dxa" w:w="2592"/>
            <w:shd w:val="clear" w:color="auto" w:fill="FFFFFF"/>
          </w:tcPr>
          <w:p>
            <w:r>
              <w:rPr>
                <w:sz w:val="18"/>
              </w:rPr>
              <w:t>Increase YoY</w:t>
            </w:r>
          </w:p>
        </w:tc>
      </w:tr>
      <w:tr>
        <w:tc>
          <w:tcPr>
            <w:tcW w:type="dxa" w:w="2880"/>
            <w:shd w:val="clear" w:color="auto" w:fill="D6E4F0"/>
          </w:tcPr>
          <w:p>
            <w:r>
              <w:rPr>
                <w:sz w:val="18"/>
              </w:rPr>
            </w:r>
          </w:p>
        </w:tc>
        <w:tc>
          <w:tcPr>
            <w:tcW w:type="dxa" w:w="4032"/>
            <w:shd w:val="clear" w:color="auto" w:fill="D6E4F0"/>
          </w:tcPr>
          <w:p>
            <w:r>
              <w:rPr>
                <w:sz w:val="18"/>
              </w:rPr>
              <w:t>Build cycle time by product type (days)</w:t>
            </w:r>
          </w:p>
        </w:tc>
        <w:tc>
          <w:tcPr>
            <w:tcW w:type="dxa" w:w="2592"/>
            <w:shd w:val="clear" w:color="auto" w:fill="D6E4F0"/>
          </w:tcPr>
          <w:p>
            <w:r>
              <w:rPr>
                <w:sz w:val="18"/>
              </w:rPr>
              <w:t>Reduce</w:t>
            </w:r>
          </w:p>
        </w:tc>
      </w:tr>
      <w:tr>
        <w:tc>
          <w:tcPr>
            <w:tcW w:type="dxa" w:w="2880"/>
            <w:shd w:val="clear" w:color="auto" w:fill="FFFFFF"/>
          </w:tcPr>
          <w:p>
            <w:r>
              <w:rPr>
                <w:sz w:val="18"/>
              </w:rPr>
            </w:r>
          </w:p>
        </w:tc>
        <w:tc>
          <w:tcPr>
            <w:tcW w:type="dxa" w:w="4032"/>
            <w:shd w:val="clear" w:color="auto" w:fill="FFFFFF"/>
          </w:tcPr>
          <w:p>
            <w:r>
              <w:rPr>
                <w:sz w:val="18"/>
              </w:rPr>
              <w:t>Fabrication on-time close rate (%)</w:t>
            </w:r>
          </w:p>
        </w:tc>
        <w:tc>
          <w:tcPr>
            <w:tcW w:type="dxa" w:w="2592"/>
            <w:shd w:val="clear" w:color="auto" w:fill="FFFFFF"/>
          </w:tcPr>
          <w:p>
            <w:r>
              <w:rPr>
                <w:sz w:val="18"/>
              </w:rPr>
              <w:t>Improve QoQ</w:t>
            </w:r>
          </w:p>
        </w:tc>
      </w:tr>
      <w:tr>
        <w:tc>
          <w:tcPr>
            <w:tcW w:type="dxa" w:w="2880"/>
            <w:shd w:val="clear" w:color="auto" w:fill="D6E4F0"/>
          </w:tcPr>
          <w:p>
            <w:r>
              <w:rPr>
                <w:sz w:val="18"/>
              </w:rPr>
            </w:r>
          </w:p>
        </w:tc>
        <w:tc>
          <w:tcPr>
            <w:tcW w:type="dxa" w:w="4032"/>
            <w:shd w:val="clear" w:color="auto" w:fill="D6E4F0"/>
          </w:tcPr>
          <w:p>
            <w:r>
              <w:rPr>
                <w:sz w:val="18"/>
              </w:rPr>
              <w:t>Costing turnaround time (days)</w:t>
            </w:r>
          </w:p>
        </w:tc>
        <w:tc>
          <w:tcPr>
            <w:tcW w:type="dxa" w:w="2592"/>
            <w:shd w:val="clear" w:color="auto" w:fill="D6E4F0"/>
          </w:tcPr>
          <w:p>
            <w:r>
              <w:rPr>
                <w:sz w:val="18"/>
              </w:rPr>
              <w:t>Reduce 40% within 6mo</w:t>
            </w:r>
          </w:p>
        </w:tc>
      </w:tr>
    </w:tbl>
    <w:p/>
    <w:p>
      <w:pPr>
        <w:spacing w:before="240" w:after="80"/>
      </w:pPr>
      <w:r>
        <w:rPr>
          <w:b/>
          <w:color w:val="1F3964"/>
          <w:sz w:val="32"/>
        </w:rPr>
        <w:t>The Ask — What We Need to Agree</w:t>
      </w:r>
    </w:p>
    <w:p>
      <w:pPr>
        <w:spacing w:before="40" w:after="40"/>
      </w:pPr>
      <w:r>
        <w:rPr>
          <w:color w:val="BDBDBD"/>
          <w:sz w:val="16"/>
        </w:rPr>
        <w:t>────────────────────────────────────────────────────────────────────────────────</w:t>
      </w:r>
    </w:p>
    <w:p>
      <w:pPr>
        <w:pStyle w:val="ListNumber"/>
        <w:spacing w:after="80"/>
      </w:pPr>
      <w:r>
        <w:rPr>
          <w:color w:val="404040"/>
          <w:sz w:val="20"/>
        </w:rPr>
        <w:t>Engineering is the constraint — focused attention and accountability in the next 90 days</w:t>
      </w:r>
    </w:p>
    <w:p>
      <w:pPr>
        <w:pStyle w:val="ListNumber"/>
        <w:spacing w:after="80"/>
      </w:pPr>
      <w:r>
        <w:rPr>
          <w:color w:val="404040"/>
          <w:sz w:val="20"/>
        </w:rPr>
        <w:t>The release gate is non-negotiable — mandatory checklist, SolidWorks interference detection at sub-assembly level, BOM sign-off before any package leaves engineering</w:t>
      </w:r>
    </w:p>
    <w:p>
      <w:pPr>
        <w:pStyle w:val="ListNumber"/>
        <w:spacing w:after="80"/>
      </w:pPr>
      <w:r>
        <w:rPr>
          <w:color w:val="404040"/>
          <w:sz w:val="20"/>
        </w:rPr>
        <w:t>Fix the recurring BOM items this week — spare wheel, ladder, nutserts and the other repeat offenders added to every standard BOM today</w:t>
      </w:r>
    </w:p>
    <w:p>
      <w:pPr>
        <w:pStyle w:val="ListNumber"/>
        <w:spacing w:after="80"/>
      </w:pPr>
      <w:r>
        <w:rPr>
          <w:color w:val="404040"/>
          <w:sz w:val="20"/>
        </w:rPr>
        <w:t>Root cause closure — no repair action closed without a documented root cause owner</w:t>
      </w:r>
    </w:p>
    <w:p>
      <w:pPr>
        <w:pStyle w:val="ListNumber"/>
        <w:spacing w:after="80"/>
      </w:pPr>
      <w:r>
        <w:rPr>
          <w:color w:val="404040"/>
          <w:sz w:val="20"/>
        </w:rPr>
        <w:t>Engineering lead accountability — who owns engineering schedule performance? Name, authority, expectation</w:t>
      </w:r>
    </w:p>
    <w:p>
      <w:pPr>
        <w:pStyle w:val="ListNumber"/>
        <w:spacing w:after="80"/>
      </w:pPr>
      <w:r>
        <w:rPr>
          <w:color w:val="404040"/>
          <w:sz w:val="20"/>
        </w:rPr>
        <w:t>Scorecard activation — baselines established by end of Q1 FY27, KPI owners assigned before end of July 2026</w:t>
      </w:r>
    </w:p>
    <w:p>
      <w:pPr>
        <w:pStyle w:val="ListNumber"/>
        <w:spacing w:after="80"/>
      </w:pPr>
      <w:r>
        <w:rPr>
          <w:color w:val="404040"/>
          <w:sz w:val="20"/>
        </w:rPr>
        <w:t>Mining market — active assessment in FY27, or wait until the platform is stable?</w:t>
      </w:r>
    </w:p>
    <w:p>
      <w:pPr>
        <w:pStyle w:val="ListNumber"/>
        <w:spacing w:after="80"/>
      </w:pPr>
      <w:r>
        <w:rPr>
          <w:color w:val="404040"/>
          <w:sz w:val="20"/>
        </w:rPr>
        <w:t>Data capability — do we identify an internal owner for quality data analysis, or make a hire?</w:t>
      </w:r>
    </w:p>
    <w:p>
      <w:pPr>
        <w:spacing w:before="240" w:after="80"/>
      </w:pPr>
      <w:r>
        <w:rPr>
          <w:b/>
          <w:color w:val="1F3964"/>
          <w:sz w:val="32"/>
        </w:rPr>
        <w:t>Closing Thought</w:t>
      </w:r>
    </w:p>
    <w:p>
      <w:pPr>
        <w:spacing w:before="40" w:after="40"/>
      </w:pPr>
      <w:r>
        <w:rPr>
          <w:color w:val="BDBDBD"/>
          <w:sz w:val="16"/>
        </w:rPr>
        <w:t>────────────────────────────────────────────────────────────────────────────────</w:t>
      </w:r>
    </w:p>
    <w:p>
      <w:pPr>
        <w:spacing w:after="80"/>
      </w:pPr>
      <w:r>
        <w:rPr>
          <w:b w:val="0"/>
          <w:i w:val="0"/>
          <w:color w:val="404040"/>
          <w:sz w:val="20"/>
        </w:rPr>
        <w:t>We have something rare: a business that has grown 10x with its culture intact. The team is capable. The data confirms the problems are specific and fixable. The question in front of us is whether we build the infrastructure worthy of that capability.</w:t>
      </w:r>
    </w:p>
    <w:p>
      <w:pPr>
        <w:spacing w:after="80"/>
      </w:pPr>
      <w:r>
        <w:rPr>
          <w:b w:val="0"/>
          <w:i w:val="0"/>
          <w:color w:val="404040"/>
          <w:sz w:val="20"/>
        </w:rPr>
        <w:t>The engineering release gate, the recurring BOM fixes, and root cause closure can all be started this week. None of them require capital. They require discipline — and the commitment to hold it under pressure.</w:t>
      </w:r>
    </w:p>
    <w:p>
      <w:pPr>
        <w:spacing w:after="80"/>
      </w:pPr>
      <w:r>
        <w:rPr>
          <w:b/>
          <w:i w:val="0"/>
          <w:color w:val="404040"/>
          <w:sz w:val="20"/>
        </w:rPr>
        <w:t>The hardest part of our growth story is behind us. The most important part is next.</w:t>
      </w:r>
    </w:p>
    <w:p/>
    <w:p>
      <w:r>
        <w:rPr>
          <w:i/>
          <w:color w:val="808080"/>
          <w:sz w:val="18"/>
        </w:rPr>
        <w:t>Draft v2.1 — For CEO Discussion  |  July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04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