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none"/>
          <w:left w:val="none"/>
          <w:bottom w:val="none"/>
          <w:right w:val="none"/>
          <w:insideH w:val="single" w:color="auto" w:sz="4"/>
          <w:insideV w:val="single" w:color="auto" w:sz="4"/>
        </w:tblBorders>
        <w:tblLayout w:type="fixed"/>
      </w:tblPr>
      <w:tblGrid>
        <w:gridCol w:w="9070"/>
      </w:tblGrid>
      <w:tr>
        <w:tc>
          <w:tcPr>
            <w:tcW w:type="dxa" w:w="9070"/>
            <w:shd w:fill="1A2B3C" w:color="auto" w:val="clear"/>
            <w:tcMar>
              <w:top w:type="dxa" w:w="567"/>
              <w:left w:type="dxa" w:w="340"/>
              <w:bottom w:type="dxa" w:w="567"/>
              <w:right w:type="dxa" w:w="340"/>
            </w:tcMar>
          </w:tcPr>
          <w:p>
            <w:pPr>
              <w:spacing w:after="60" w:before="40"/>
              <w:jc w:val="center"/>
            </w:pPr>
            <w:r>
              <w:rPr>
                <w:rFonts w:ascii="Arial" w:cs="Arial" w:eastAsia="Arial" w:hAnsi="Arial"/>
                <w:b/>
                <w:bCs/>
                <w:color w:val="FFBF00"/>
                <w:sz w:val="18"/>
                <w:szCs w:val="18"/>
              </w:rPr>
              <w:t xml:space="preserve">THE WORKS</w:t>
            </w:r>
          </w:p>
          <w:p>
            <w:pPr>
              <w:spacing w:after="100" w:before="0"/>
              <w:jc w:val="center"/>
            </w:pPr>
            <w:r>
              <w:rPr>
                <w:rFonts w:ascii="Arial" w:cs="Arial" w:eastAsia="Arial" w:hAnsi="Arial"/>
                <w:b/>
                <w:bCs/>
                <w:color w:val="FFFFFF"/>
                <w:sz w:val="44"/>
                <w:szCs w:val="44"/>
              </w:rPr>
              <w:t xml:space="preserve">From Disruption to Disrupted</w:t>
            </w:r>
          </w:p>
          <w:p>
            <w:pPr>
              <w:spacing w:after="80" w:before="0"/>
              <w:jc w:val="center"/>
            </w:pPr>
            <w:r>
              <w:rPr>
                <w:rFonts w:ascii="Arial" w:cs="Arial" w:eastAsia="Arial" w:hAnsi="Arial"/>
                <w:color w:val="D6E4F0"/>
                <w:sz w:val="26"/>
                <w:szCs w:val="26"/>
              </w:rPr>
              <w:t xml:space="preserve">The Engineering Leadership Story of Tesla and the Rise of Chinese EVs</w:t>
            </w:r>
          </w:p>
          <w:p>
            <w:pPr>
              <w:spacing w:after="80" w:before="0"/>
              <w:jc w:val="center"/>
            </w:pPr>
            <w:r>
              <w:rPr>
                <w:rFonts w:ascii="Arial" w:cs="Arial" w:eastAsia="Arial" w:hAnsi="Arial"/>
                <w:i/>
                <w:iCs/>
                <w:color w:val="D9D9D9"/>
                <w:sz w:val="22"/>
                <w:szCs w:val="22"/>
              </w:rPr>
              <w:t xml:space="preserve">What Engineering Managers Must Learn</w:t>
            </w:r>
          </w:p>
          <w:p>
            <w:pPr>
              <w:spacing w:after="40" w:before="60"/>
              <w:jc w:val="center"/>
            </w:pPr>
            <w:r>
              <w:rPr>
                <w:rFonts w:ascii="Arial" w:cs="Arial" w:eastAsia="Arial" w:hAnsi="Arial"/>
                <w:color w:val="D9D9D9"/>
                <w:sz w:val="20"/>
                <w:szCs w:val="20"/>
              </w:rPr>
              <w:t xml:space="preserve">28 July 2026  |  Prepared by Felix, Senior Researcher — The Works</w:t>
            </w:r>
          </w:p>
        </w:tc>
      </w:tr>
    </w:tbl>
    <w:p>
      <w:pPr>
        <w:spacing w:after="160" w:before="0"/>
      </w:pPr>
    </w:p>
    <w:tbl>
      <w:tblPr>
        <w:tblW w:type="dxa" w:w="9526"/>
        <w:tblBorders>
          <w:top w:val="single" w:color="D9D9D9" w:sz="4"/>
          <w:left w:val="single" w:color="D9D9D9" w:sz="4"/>
          <w:bottom w:val="single" w:color="D9D9D9" w:sz="4"/>
          <w:right w:val="single" w:color="D9D9D9" w:sz="4"/>
          <w:insideH w:val="single" w:color="auto" w:sz="4"/>
          <w:insideV w:val="single" w:color="auto" w:sz="4"/>
        </w:tblBorders>
        <w:tblLayout w:type="fixed"/>
      </w:tblPr>
      <w:tblGrid>
        <w:gridCol w:w="2268"/>
        <w:gridCol w:w="7258"/>
      </w:tblGrid>
      <w:tr>
        <w:trPr>
          <w:tblHeader/>
        </w:trPr>
        <w:tc>
          <w:tcPr>
            <w:tcW w:type="dxa" w:w="2268"/>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Field</w:t>
            </w:r>
          </w:p>
        </w:tc>
        <w:tc>
          <w:tcPr>
            <w:tcW w:type="dxa" w:w="7258"/>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Detail</w:t>
            </w:r>
          </w:p>
        </w:tc>
      </w:tr>
      <w:tr>
        <w:tc>
          <w:tcPr>
            <w:tcW w:type="dxa" w:w="226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Audience</w:t>
            </w:r>
          </w:p>
        </w:tc>
        <w:tc>
          <w:tcPr>
            <w:tcW w:type="dxa" w:w="725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Engineering managers and technical leaders</w:t>
            </w:r>
          </w:p>
        </w:tc>
      </w:tr>
      <w:tr>
        <w:tc>
          <w:tcPr>
            <w:tcW w:type="dxa" w:w="2268"/>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Scope</w:t>
            </w:r>
          </w:p>
        </w:tc>
        <w:tc>
          <w:tcPr>
            <w:tcW w:type="dxa" w:w="7258"/>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Tesla's rise (2004–2023); Chinese EV industry overtake (2020–2026); Ten engineering manager lessons; Parallel milestone timeline 2008–2026</w:t>
            </w:r>
          </w:p>
        </w:tc>
      </w:tr>
      <w:tr>
        <w:tc>
          <w:tcPr>
            <w:tcW w:type="dxa" w:w="226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Data currency</w:t>
            </w:r>
          </w:p>
        </w:tc>
        <w:tc>
          <w:tcPr>
            <w:tcW w:type="dxa" w:w="725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July 2026 — all figures sourced and timestamped; estimates flagged</w:t>
            </w:r>
          </w:p>
        </w:tc>
      </w:tr>
      <w:tr>
        <w:tc>
          <w:tcPr>
            <w:tcW w:type="dxa" w:w="2268"/>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Prepared by</w:t>
            </w:r>
          </w:p>
        </w:tc>
        <w:tc>
          <w:tcPr>
            <w:tcW w:type="dxa" w:w="7258"/>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Felix, Senior Researcher — The Works</w:t>
            </w:r>
          </w:p>
        </w:tc>
      </w:tr>
      <w:tr>
        <w:tc>
          <w:tcPr>
            <w:tcW w:type="dxa" w:w="226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Authorised by</w:t>
            </w:r>
          </w:p>
        </w:tc>
        <w:tc>
          <w:tcPr>
            <w:tcW w:type="dxa" w:w="725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MEO, Orchestrator — The Works</w:t>
            </w:r>
          </w:p>
        </w:tc>
      </w:tr>
    </w:tbl>
    <w:p>
      <w:pPr>
        <w:spacing w:after="120" w:before="0"/>
      </w:pPr>
    </w:p>
    <w:p>
      <w:pPr>
        <w:pStyle w:val="Heading1"/>
        <w:pBdr>
          <w:bottom w:val="single" w:color="1F497D" w:sz="6" w:space="4"/>
        </w:pBdr>
        <w:spacing w:after="80" w:before="280"/>
      </w:pPr>
      <w:r>
        <w:rPr>
          <w:rFonts w:ascii="Arial" w:cs="Arial" w:eastAsia="Arial" w:hAnsi="Arial"/>
          <w:b/>
          <w:bCs/>
          <w:color w:val="1F497D"/>
          <w:sz w:val="26"/>
          <w:szCs w:val="26"/>
        </w:rPr>
        <w:t xml:space="preserve">EXECUTIVE NOTE</w:t>
      </w:r>
    </w:p>
    <w:p>
      <w:pPr>
        <w:spacing w:after="80" w:before="60"/>
        <w:jc w:val="left"/>
      </w:pPr>
      <w:r>
        <w:rPr>
          <w:rFonts w:ascii="Arial" w:cs="Arial" w:eastAsia="Arial" w:hAnsi="Arial"/>
          <w:b w:val="false"/>
          <w:bCs w:val="false"/>
          <w:i w:val="false"/>
          <w:iCs w:val="false"/>
          <w:color w:val="000000"/>
          <w:sz w:val="20"/>
          <w:szCs w:val="20"/>
        </w:rPr>
        <w:t xml:space="preserve">This study traces a twenty-year arc: a Silicon Valley startup that rewrote the rules of automotive engineering, and the Chinese industrial machine that studied those rules, improved on them, and is now rewriting them again.</w:t>
      </w:r>
    </w:p>
    <w:p>
      <w:pPr>
        <w:spacing w:after="80" w:before="40"/>
        <w:jc w:val="left"/>
      </w:pPr>
      <w:r>
        <w:rPr>
          <w:rFonts w:ascii="Arial" w:cs="Arial" w:eastAsia="Arial" w:hAnsi="Arial"/>
          <w:b w:val="false"/>
          <w:bCs w:val="false"/>
          <w:i w:val="false"/>
          <w:iCs w:val="false"/>
          <w:color w:val="000000"/>
          <w:sz w:val="20"/>
          <w:szCs w:val="20"/>
        </w:rPr>
        <w:t xml:space="preserve">It is written for engineering managers because the lessons are not about EVs — they are about how engineering decisions compound into competitive advantage, and how that advantage can evaporate when a faster learner arrives.</w:t>
      </w:r>
    </w:p>
    <w:p>
      <w:r>
        <w:br w:type="page"/>
      </w:r>
    </w:p>
    <w:p>
      <w:pPr>
        <w:pStyle w:val="Heading1"/>
        <w:pBdr>
          <w:bottom w:val="single" w:color="1F497D" w:sz="6" w:space="4"/>
        </w:pBdr>
        <w:spacing w:after="80" w:before="280"/>
      </w:pPr>
      <w:r>
        <w:rPr>
          <w:rFonts w:ascii="Arial" w:cs="Arial" w:eastAsia="Arial" w:hAnsi="Arial"/>
          <w:b/>
          <w:bCs/>
          <w:color w:val="1F497D"/>
          <w:sz w:val="26"/>
          <w:szCs w:val="26"/>
        </w:rPr>
        <w:t xml:space="preserve">PART 1 — HOW TESLA TOOK OVER THE EV INDUSTRY</w:t>
      </w:r>
    </w:p>
    <w:p>
      <w:pPr>
        <w:pStyle w:val="Heading2"/>
        <w:spacing w:after="60" w:before="200"/>
      </w:pPr>
      <w:r>
        <w:rPr>
          <w:rFonts w:ascii="Arial" w:cs="Arial" w:eastAsia="Arial" w:hAnsi="Arial"/>
          <w:b/>
          <w:bCs/>
          <w:color w:val="1A2B3C"/>
          <w:sz w:val="22"/>
          <w:szCs w:val="22"/>
        </w:rPr>
        <w:t xml:space="preserve">1.1  The First Principles Foundation</w:t>
      </w:r>
    </w:p>
    <w:p>
      <w:pPr>
        <w:spacing w:after="80" w:before="40"/>
        <w:jc w:val="left"/>
      </w:pPr>
      <w:r>
        <w:rPr>
          <w:rFonts w:ascii="Arial" w:cs="Arial" w:eastAsia="Arial" w:hAnsi="Arial"/>
          <w:b w:val="false"/>
          <w:bCs w:val="false"/>
          <w:i w:val="false"/>
          <w:iCs w:val="false"/>
          <w:color w:val="000000"/>
          <w:sz w:val="20"/>
          <w:szCs w:val="20"/>
        </w:rPr>
        <w:t xml:space="preserve">Tesla's dominant position was not the result of superior resources. When Elon Musk joined Martin Eberhard's startup in 2004, the established automakers had vastly more capital, manufacturing experience, and supply chain depth. What Tesla had was a different way of asking questions.</w:t>
      </w:r>
    </w:p>
    <w:p>
      <w:pPr>
        <w:spacing w:after="80" w:before="40"/>
        <w:jc w:val="left"/>
      </w:pPr>
      <w:r>
        <w:rPr>
          <w:rFonts w:ascii="Arial" w:cs="Arial" w:eastAsia="Arial" w:hAnsi="Arial"/>
          <w:b w:val="false"/>
          <w:bCs w:val="false"/>
          <w:i w:val="false"/>
          <w:iCs w:val="false"/>
          <w:color w:val="000000"/>
          <w:sz w:val="20"/>
          <w:szCs w:val="20"/>
        </w:rPr>
        <w:t xml:space="preserve">Musk articulated the first principles method explicitly: rather than reasoning from analogy ("EVs are expensive because EVs have always been expensive"), first principles thinking decomposes a problem to its physical and economic fundamentals, then reasons back up. Applied to battery packs, the question was not "what do battery packs cost from suppliers?" but "what do the constituent materials cost on a commodity exchange, and what would it cost to assemble them if the manufacturing process were optimised?"</w:t>
      </w:r>
    </w:p>
    <w:p>
      <w:pPr>
        <w:spacing w:after="60" w:before="20"/>
        <w:jc w:val="left"/>
      </w:pPr>
      <w:r>
        <w:rPr>
          <w:rFonts w:ascii="Arial" w:cs="Arial" w:eastAsia="Arial" w:hAnsi="Arial"/>
          <w:b w:val="false"/>
          <w:bCs w:val="false"/>
          <w:i/>
          <w:iCs/>
          <w:color w:val="595959"/>
          <w:sz w:val="18"/>
          <w:szCs w:val="18"/>
        </w:rPr>
        <w:t xml:space="preserve">Source: Musk, TED Talk, 2013</w:t>
      </w:r>
    </w:p>
    <w:p>
      <w:pPr>
        <w:spacing w:after="80" w:before="40"/>
        <w:jc w:val="left"/>
      </w:pPr>
      <w:r>
        <w:rPr>
          <w:rFonts w:ascii="Arial" w:cs="Arial" w:eastAsia="Arial" w:hAnsi="Arial"/>
          <w:b w:val="false"/>
          <w:bCs w:val="false"/>
          <w:i w:val="false"/>
          <w:iCs w:val="false"/>
          <w:color w:val="000000"/>
          <w:sz w:val="20"/>
          <w:szCs w:val="20"/>
        </w:rPr>
        <w:t xml:space="preserve">This distinction — between what is true in the current system and what is physically possible — drove every major engineering decision Tesla made.</w:t>
      </w:r>
    </w:p>
    <w:p>
      <w:pPr>
        <w:pStyle w:val="Heading2"/>
        <w:spacing w:after="60" w:before="200"/>
      </w:pPr>
      <w:r>
        <w:rPr>
          <w:rFonts w:ascii="Arial" w:cs="Arial" w:eastAsia="Arial" w:hAnsi="Arial"/>
          <w:b/>
          <w:bCs/>
          <w:color w:val="1A2B3C"/>
          <w:sz w:val="22"/>
          <w:szCs w:val="22"/>
        </w:rPr>
        <w:t xml:space="preserve">1.2  Vertical Integration: Owning the Critical Path</w:t>
      </w:r>
    </w:p>
    <w:p>
      <w:pPr>
        <w:spacing w:after="80" w:before="40"/>
        <w:jc w:val="left"/>
      </w:pPr>
      <w:r>
        <w:rPr>
          <w:rFonts w:ascii="Arial" w:cs="Arial" w:eastAsia="Arial" w:hAnsi="Arial"/>
          <w:b w:val="false"/>
          <w:bCs w:val="false"/>
          <w:i w:val="false"/>
          <w:iCs w:val="false"/>
          <w:color w:val="000000"/>
          <w:sz w:val="20"/>
          <w:szCs w:val="20"/>
        </w:rPr>
        <w:t xml:space="preserve">Traditional automotive OEMs operate a tiered supply model. Tier 1 suppliers deliver major assemblies; Tier 2 and 3 supply components to Tier 1; the OEM integrates and assembles. This model distributes cost and risk but also distributes knowledge, margin, and control of the development cycle.</w:t>
      </w:r>
    </w:p>
    <w:p>
      <w:pPr>
        <w:spacing w:after="80" w:before="40"/>
        <w:jc w:val="left"/>
      </w:pPr>
      <w:r>
        <w:rPr>
          <w:rFonts w:ascii="Arial" w:cs="Arial" w:eastAsia="Arial" w:hAnsi="Arial"/>
          <w:b w:val="false"/>
          <w:bCs w:val="false"/>
          <w:i w:val="false"/>
          <w:iCs w:val="false"/>
          <w:color w:val="000000"/>
          <w:sz w:val="20"/>
          <w:szCs w:val="20"/>
        </w:rPr>
        <w:t xml:space="preserve">Tesla inverted this logic for anything on the critical path of EV performance. Battery cells, battery management software, the electric motor, the inverter, the vehicle operating system, over-the-air update infrastructure, and eventually semiconductor chips — Tesla built or closely controlled each of these. The reasoning: if a capability determines the performance, cost, or differentiation of the product, owning it is a structural advantage; licensing or purchasing it is a permanent margin leak and a development dependency.</w:t>
      </w:r>
    </w:p>
    <w:p>
      <w:pPr>
        <w:spacing w:after="80" w:before="40"/>
        <w:jc w:val="left"/>
      </w:pPr>
      <w:r>
        <w:rPr>
          <w:rFonts w:ascii="Arial" w:cs="Arial" w:eastAsia="Arial" w:hAnsi="Arial"/>
          <w:b w:val="false"/>
          <w:bCs w:val="false"/>
          <w:i w:val="false"/>
          <w:iCs w:val="false"/>
          <w:color w:val="000000"/>
          <w:sz w:val="20"/>
          <w:szCs w:val="20"/>
        </w:rPr>
        <w:t xml:space="preserve">The most consequential expression was the Nevada Gigafactory (announced 2014, operational 2016), co-located with Panasonic. The bet: that co-locating battery manufacturing with vehicle assembly, at massive scale, would drive cell cost down through learning curves inaccessible at lower volumes. The bet was correct — by 2020, Tesla's battery cost per kWh was below $100 at the pack level, ahead of most industry estimates.</w:t>
      </w:r>
    </w:p>
    <w:p>
      <w:pPr>
        <w:spacing w:after="60" w:before="20"/>
        <w:jc w:val="left"/>
      </w:pPr>
      <w:r>
        <w:rPr>
          <w:rFonts w:ascii="Arial" w:cs="Arial" w:eastAsia="Arial" w:hAnsi="Arial"/>
          <w:b w:val="false"/>
          <w:bCs w:val="false"/>
          <w:i/>
          <w:iCs/>
          <w:color w:val="595959"/>
          <w:sz w:val="18"/>
          <w:szCs w:val="18"/>
        </w:rPr>
        <w:t xml:space="preserve">Sources: Tesla Annual Report 2014; BloombergNEF EV Battery Price Survey 2020</w:t>
      </w:r>
    </w:p>
    <w:p>
      <w:pPr>
        <w:pStyle w:val="Heading2"/>
        <w:spacing w:after="60" w:before="200"/>
      </w:pPr>
      <w:r>
        <w:rPr>
          <w:rFonts w:ascii="Arial" w:cs="Arial" w:eastAsia="Arial" w:hAnsi="Arial"/>
          <w:b/>
          <w:bCs/>
          <w:color w:val="1A2B3C"/>
          <w:sz w:val="22"/>
          <w:szCs w:val="22"/>
        </w:rPr>
        <w:t xml:space="preserve">1.3  The Gigafactory Concept: Manufacturing as a Product</w:t>
      </w:r>
    </w:p>
    <w:p>
      <w:pPr>
        <w:spacing w:after="80" w:before="40"/>
        <w:jc w:val="left"/>
      </w:pPr>
      <w:r>
        <w:rPr>
          <w:rFonts w:ascii="Arial" w:cs="Arial" w:eastAsia="Arial" w:hAnsi="Arial"/>
          <w:b w:val="false"/>
          <w:bCs w:val="false"/>
          <w:i w:val="false"/>
          <w:iCs w:val="false"/>
          <w:color w:val="000000"/>
          <w:sz w:val="20"/>
          <w:szCs w:val="20"/>
        </w:rPr>
        <w:t xml:space="preserve">Tesla's most underappreciated intellectual contribution was reframing the factory itself as an engineering product. Musk described this as "the machine that builds the machine" — the insight that the rate of innovation in manufacturing processes is itself a competitive variable.</w:t>
      </w:r>
    </w:p>
    <w:p>
      <w:pPr>
        <w:spacing w:after="60" w:before="20"/>
        <w:jc w:val="left"/>
      </w:pPr>
      <w:r>
        <w:rPr>
          <w:rFonts w:ascii="Arial" w:cs="Arial" w:eastAsia="Arial" w:hAnsi="Arial"/>
          <w:b w:val="false"/>
          <w:bCs w:val="false"/>
          <w:i/>
          <w:iCs/>
          <w:color w:val="595959"/>
          <w:sz w:val="18"/>
          <w:szCs w:val="18"/>
        </w:rPr>
        <w:t xml:space="preserve">Source: Tesla Battery Day, September 2020</w:t>
      </w:r>
    </w:p>
    <w:p>
      <w:pPr>
        <w:spacing w:after="80" w:before="40"/>
        <w:jc w:val="left"/>
      </w:pPr>
      <w:r>
        <w:rPr>
          <w:rFonts w:ascii="Arial" w:cs="Arial" w:eastAsia="Arial" w:hAnsi="Arial"/>
          <w:b w:val="false"/>
          <w:bCs w:val="false"/>
          <w:i w:val="false"/>
          <w:iCs w:val="false"/>
          <w:color w:val="000000"/>
          <w:sz w:val="20"/>
          <w:szCs w:val="20"/>
        </w:rPr>
        <w:t xml:space="preserve">The most visible example was the Giga Press — an aluminium die-casting machine (built by IDRA) capable of casting the entire rear underbody of a Model Y in a single piece. Previous vehicles assembled that structure from 70–80 stamped and welded components. The single-piece casting eliminated hundreds of weld points, reduced part count, cut assembly time, and improved structural rigidity. Tesla also progressively redesigned the wiring harness — a 3 km cable assembly that is one of the most labour-intensive elements of a conventional car — toward a 48V zonal electrical architecture that drastically reduces its length and complexity.</w:t>
      </w:r>
    </w:p>
    <w:p>
      <w:pPr>
        <w:spacing w:after="60" w:before="20"/>
        <w:jc w:val="left"/>
      </w:pPr>
      <w:r>
        <w:rPr>
          <w:rFonts w:ascii="Arial" w:cs="Arial" w:eastAsia="Arial" w:hAnsi="Arial"/>
          <w:b w:val="false"/>
          <w:bCs w:val="false"/>
          <w:i/>
          <w:iCs/>
          <w:color w:val="595959"/>
          <w:sz w:val="18"/>
          <w:szCs w:val="18"/>
        </w:rPr>
        <w:t xml:space="preserve">Sources: Tesla Engineering 2022; Tesla AI Day 2022</w:t>
      </w:r>
    </w:p>
    <w:p>
      <w:pPr>
        <w:pStyle w:val="Heading2"/>
        <w:spacing w:after="60" w:before="200"/>
      </w:pPr>
      <w:r>
        <w:rPr>
          <w:rFonts w:ascii="Arial" w:cs="Arial" w:eastAsia="Arial" w:hAnsi="Arial"/>
          <w:b/>
          <w:bCs/>
          <w:color w:val="1A2B3C"/>
          <w:sz w:val="22"/>
          <w:szCs w:val="22"/>
        </w:rPr>
        <w:t xml:space="preserve">1.4  Software-Defined Vehicle: The Revenue Model Shift</w:t>
      </w:r>
    </w:p>
    <w:p>
      <w:pPr>
        <w:spacing w:after="80" w:before="40"/>
        <w:jc w:val="left"/>
      </w:pPr>
      <w:r>
        <w:rPr>
          <w:rFonts w:ascii="Arial" w:cs="Arial" w:eastAsia="Arial" w:hAnsi="Arial"/>
          <w:b w:val="false"/>
          <w:bCs w:val="false"/>
          <w:i w:val="false"/>
          <w:iCs w:val="false"/>
          <w:color w:val="000000"/>
          <w:sz w:val="20"/>
          <w:szCs w:val="20"/>
        </w:rPr>
        <w:t xml:space="preserve">Tesla was the first automotive company to treat software as a primary product rather than a feature set. Over-the-air (OTA) software updates — deployed across the entire fleet simultaneously — meant that a vehicle purchased in 2018 could gain performance, efficiency, and safety capabilities in 2021 without a recall or service visit. Fleet learning — where every Tesla's sensor data contributes to the AI training corpus — created a self-reinforcing advantage: more vehicles in the fleet produced more training data, which improved the autonomy system, which made the fleet more valuable.</w:t>
      </w:r>
    </w:p>
    <w:p>
      <w:pPr>
        <w:spacing w:after="60" w:before="20"/>
        <w:jc w:val="left"/>
      </w:pPr>
      <w:r>
        <w:rPr>
          <w:rFonts w:ascii="Arial" w:cs="Arial" w:eastAsia="Arial" w:hAnsi="Arial"/>
          <w:b w:val="false"/>
          <w:bCs w:val="false"/>
          <w:i/>
          <w:iCs/>
          <w:color w:val="595959"/>
          <w:sz w:val="18"/>
          <w:szCs w:val="18"/>
        </w:rPr>
        <w:t xml:space="preserve">Source: Tesla Autonomy Day, April 2019</w:t>
      </w:r>
    </w:p>
    <w:p>
      <w:pPr>
        <w:pStyle w:val="Heading2"/>
        <w:spacing w:after="60" w:before="200"/>
      </w:pPr>
      <w:r>
        <w:rPr>
          <w:rFonts w:ascii="Arial" w:cs="Arial" w:eastAsia="Arial" w:hAnsi="Arial"/>
          <w:b/>
          <w:bCs/>
          <w:color w:val="1A2B3C"/>
          <w:sz w:val="22"/>
          <w:szCs w:val="22"/>
        </w:rPr>
        <w:t xml:space="preserve">1.5  Battery Technology: A Two-Decade Programme</w:t>
      </w:r>
    </w:p>
    <w:tbl>
      <w:tblPr>
        <w:tblW w:type="dxa" w:w="9526"/>
        <w:tblBorders>
          <w:top w:val="single" w:color="D9D9D9" w:sz="4"/>
          <w:left w:val="single" w:color="D9D9D9" w:sz="4"/>
          <w:bottom w:val="single" w:color="D9D9D9" w:sz="4"/>
          <w:right w:val="single" w:color="D9D9D9" w:sz="4"/>
          <w:insideH w:val="single" w:color="auto" w:sz="4"/>
          <w:insideV w:val="single" w:color="auto" w:sz="4"/>
        </w:tblBorders>
        <w:tblLayout w:type="fixed"/>
      </w:tblPr>
      <w:tblGrid>
        <w:gridCol w:w="1134"/>
        <w:gridCol w:w="4253"/>
        <w:gridCol w:w="4139"/>
      </w:tblGrid>
      <w:tr>
        <w:trPr>
          <w:tblHeader/>
        </w:trPr>
        <w:tc>
          <w:tcPr>
            <w:tcW w:type="dxa" w:w="1134"/>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Year</w:t>
            </w:r>
          </w:p>
        </w:tc>
        <w:tc>
          <w:tcPr>
            <w:tcW w:type="dxa" w:w="4253"/>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Milestone</w:t>
            </w:r>
          </w:p>
        </w:tc>
        <w:tc>
          <w:tcPr>
            <w:tcW w:type="dxa" w:w="4139"/>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Significance</w:t>
            </w:r>
          </w:p>
        </w:tc>
      </w:tr>
      <w:tr>
        <w:tc>
          <w:tcPr>
            <w:tcW w:type="dxa" w:w="1134"/>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2008</w:t>
            </w:r>
          </w:p>
        </w:tc>
        <w:tc>
          <w:tcPr>
            <w:tcW w:type="dxa" w:w="4253"/>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Roadster — 6,831 × 18650 cells, Panasonic</w:t>
            </w:r>
          </w:p>
        </w:tc>
        <w:tc>
          <w:tcPr>
            <w:tcW w:type="dxa" w:w="413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Proof of concept: commodity cells at scale can power a performance EV</w:t>
            </w:r>
          </w:p>
        </w:tc>
      </w:tr>
      <w:tr>
        <w:tc>
          <w:tcPr>
            <w:tcW w:type="dxa" w:w="1134"/>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2012</w:t>
            </w:r>
          </w:p>
        </w:tc>
        <w:tc>
          <w:tcPr>
            <w:tcW w:type="dxa" w:w="4253"/>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Model S — 8,550 cells, 85 kWh, 426 km EPA range</w:t>
            </w:r>
          </w:p>
        </w:tc>
        <w:tc>
          <w:tcPr>
            <w:tcW w:type="dxa" w:w="413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Established long-range BEV viability for premium segment</w:t>
            </w:r>
          </w:p>
        </w:tc>
      </w:tr>
      <w:tr>
        <w:tc>
          <w:tcPr>
            <w:tcW w:type="dxa" w:w="1134"/>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2017</w:t>
            </w:r>
          </w:p>
        </w:tc>
        <w:tc>
          <w:tcPr>
            <w:tcW w:type="dxa" w:w="4253"/>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2170 cell (Model 3) — ~50% higher energy density than 18650</w:t>
            </w:r>
          </w:p>
        </w:tc>
        <w:tc>
          <w:tcPr>
            <w:tcW w:type="dxa" w:w="413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Reduced pack cost materially; Model 3 production begins</w:t>
            </w:r>
          </w:p>
        </w:tc>
      </w:tr>
      <w:tr>
        <w:tc>
          <w:tcPr>
            <w:tcW w:type="dxa" w:w="1134"/>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2020</w:t>
            </w:r>
          </w:p>
        </w:tc>
        <w:tc>
          <w:tcPr>
            <w:tcW w:type="dxa" w:w="4253"/>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4680 cell announced — tabless design, structural pack integration</w:t>
            </w:r>
          </w:p>
        </w:tc>
        <w:tc>
          <w:tcPr>
            <w:tcW w:type="dxa" w:w="413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Higher charge/discharge rates; pack IS the chassis — weight and cost reduction</w:t>
            </w:r>
          </w:p>
        </w:tc>
      </w:tr>
      <w:tr>
        <w:tc>
          <w:tcPr>
            <w:tcW w:type="dxa" w:w="1134"/>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2023</w:t>
            </w:r>
          </w:p>
        </w:tc>
        <w:tc>
          <w:tcPr>
            <w:tcW w:type="dxa" w:w="4253"/>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4680 milestones: 10M cells (June), 20M (October)</w:t>
            </w:r>
          </w:p>
        </w:tc>
        <w:tc>
          <w:tcPr>
            <w:tcW w:type="dxa" w:w="413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Production ramp accelerating; learning curve driving cost down</w:t>
            </w:r>
          </w:p>
        </w:tc>
      </w:tr>
      <w:tr>
        <w:tc>
          <w:tcPr>
            <w:tcW w:type="dxa" w:w="1134"/>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2025</w:t>
            </w:r>
          </w:p>
        </w:tc>
        <w:tc>
          <w:tcPr>
            <w:tcW w:type="dxa" w:w="4253"/>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4680 dry electrode process mastered (Q4)</w:t>
            </w:r>
          </w:p>
        </w:tc>
        <w:tc>
          <w:tcPr>
            <w:tcW w:type="dxa" w:w="413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Resolves eight-year Maxwell Technologies acquisition investment — unlocks full cost target</w:t>
            </w:r>
          </w:p>
        </w:tc>
      </w:tr>
    </w:tbl>
    <w:p>
      <w:pPr>
        <w:spacing w:after="120" w:before="0"/>
      </w:pPr>
    </w:p>
    <w:p>
      <w:pPr>
        <w:spacing w:after="60" w:before="20"/>
        <w:jc w:val="left"/>
      </w:pPr>
      <w:r>
        <w:rPr>
          <w:rFonts w:ascii="Arial" w:cs="Arial" w:eastAsia="Arial" w:hAnsi="Arial"/>
          <w:b w:val="false"/>
          <w:bCs w:val="false"/>
          <w:i/>
          <w:iCs/>
          <w:color w:val="595959"/>
          <w:sz w:val="18"/>
          <w:szCs w:val="18"/>
        </w:rPr>
        <w:t xml:space="preserve">Sources: Tesla production updates 2023–2024; Electrek 2025; Tesla Battery Day 2020</w:t>
      </w:r>
    </w:p>
    <w:p>
      <w:pPr>
        <w:pStyle w:val="Heading2"/>
        <w:spacing w:after="60" w:before="200"/>
      </w:pPr>
      <w:r>
        <w:rPr>
          <w:rFonts w:ascii="Arial" w:cs="Arial" w:eastAsia="Arial" w:hAnsi="Arial"/>
          <w:b/>
          <w:bCs/>
          <w:color w:val="1A2B3C"/>
          <w:sz w:val="22"/>
          <w:szCs w:val="22"/>
        </w:rPr>
        <w:t xml:space="preserve">1.6  Production Hell: What Nearly Killed Tesla and What It Proved</w:t>
      </w:r>
    </w:p>
    <w:p>
      <w:pPr>
        <w:spacing w:after="80" w:before="40"/>
        <w:jc w:val="left"/>
      </w:pPr>
      <w:r>
        <w:rPr>
          <w:rFonts w:ascii="Arial" w:cs="Arial" w:eastAsia="Arial" w:hAnsi="Arial"/>
          <w:b w:val="false"/>
          <w:bCs w:val="false"/>
          <w:i w:val="false"/>
          <w:iCs w:val="false"/>
          <w:color w:val="000000"/>
          <w:sz w:val="20"/>
          <w:szCs w:val="20"/>
        </w:rPr>
        <w:t xml:space="preserve">The Model 3 production ramp of 2017–2018 is the most documented near-death experience in automotive history. Tesla committed to producing 5,000 Model 3 units per week by end of 2017. It produced 2,425 in the entire fourth quarter. An automation-first manufacturing strategy — robots for processes never before automated — had to be partially unwound.</w:t>
      </w:r>
    </w:p>
    <w:p>
      <w:pPr>
        <w:spacing w:after="80" w:before="40"/>
        <w:jc w:val="left"/>
      </w:pPr>
      <w:r>
        <w:rPr>
          <w:rFonts w:ascii="Arial" w:cs="Arial" w:eastAsia="Arial" w:hAnsi="Arial"/>
          <w:b/>
          <w:bCs/>
          <w:i w:val="false"/>
          <w:iCs w:val="false"/>
          <w:color w:val="000000"/>
          <w:sz w:val="20"/>
          <w:szCs w:val="20"/>
        </w:rPr>
        <w:t xml:space="preserve">"Excessive automation at Tesla was a mistake. Humans are underrated." — Elon Musk, April 2018</w:t>
      </w:r>
    </w:p>
    <w:p>
      <w:pPr>
        <w:spacing w:after="80" w:before="40"/>
        <w:jc w:val="left"/>
      </w:pPr>
      <w:r>
        <w:rPr>
          <w:rFonts w:ascii="Arial" w:cs="Arial" w:eastAsia="Arial" w:hAnsi="Arial"/>
          <w:b w:val="false"/>
          <w:bCs w:val="false"/>
          <w:i w:val="false"/>
          <w:iCs w:val="false"/>
          <w:color w:val="000000"/>
          <w:sz w:val="20"/>
          <w:szCs w:val="20"/>
        </w:rPr>
        <w:t xml:space="preserve">What Production Hell proved, once survived: Tesla learned more about high-volume EV manufacturing in eighteen months than any other company had in twenty years. Every subsequent factory — Giga Shanghai (2019–2020), Giga Berlin and Giga Texas (2022) — was built faster, cheaper, and reached production targets sooner because the institutional knowledge was embedded.</w:t>
      </w:r>
    </w:p>
    <w:p>
      <w:pPr>
        <w:spacing w:after="60" w:before="20"/>
        <w:jc w:val="left"/>
      </w:pPr>
      <w:r>
        <w:rPr>
          <w:rFonts w:ascii="Arial" w:cs="Arial" w:eastAsia="Arial" w:hAnsi="Arial"/>
          <w:b w:val="false"/>
          <w:bCs w:val="false"/>
          <w:i/>
          <w:iCs/>
          <w:color w:val="595959"/>
          <w:sz w:val="18"/>
          <w:szCs w:val="18"/>
        </w:rPr>
        <w:t xml:space="preserve">Source: Twitter/X, Musk, April 2018</w:t>
      </w:r>
    </w:p>
    <w:p>
      <w:r>
        <w:br w:type="page"/>
      </w:r>
    </w:p>
    <w:p>
      <w:pPr>
        <w:pStyle w:val="Heading1"/>
        <w:pBdr>
          <w:bottom w:val="single" w:color="1F497D" w:sz="6" w:space="4"/>
        </w:pBdr>
        <w:spacing w:after="80" w:before="280"/>
      </w:pPr>
      <w:r>
        <w:rPr>
          <w:rFonts w:ascii="Arial" w:cs="Arial" w:eastAsia="Arial" w:hAnsi="Arial"/>
          <w:b/>
          <w:bCs/>
          <w:color w:val="1F497D"/>
          <w:sz w:val="26"/>
          <w:szCs w:val="26"/>
        </w:rPr>
        <w:t xml:space="preserve">PART 2 — HOW CHINESE EVS OVERTOOK TESLA</w:t>
      </w:r>
    </w:p>
    <w:p>
      <w:pPr>
        <w:pStyle w:val="Heading2"/>
        <w:spacing w:after="60" w:before="200"/>
      </w:pPr>
      <w:r>
        <w:rPr>
          <w:rFonts w:ascii="Arial" w:cs="Arial" w:eastAsia="Arial" w:hAnsi="Arial"/>
          <w:b/>
          <w:bCs/>
          <w:color w:val="1A2B3C"/>
          <w:sz w:val="22"/>
          <w:szCs w:val="22"/>
        </w:rPr>
        <w:t xml:space="preserve">2.1  BYD and the Blade Battery: LFP Reborn</w:t>
      </w:r>
    </w:p>
    <w:p>
      <w:pPr>
        <w:spacing w:after="80" w:before="40"/>
        <w:jc w:val="left"/>
      </w:pPr>
      <w:r>
        <w:rPr>
          <w:rFonts w:ascii="Arial" w:cs="Arial" w:eastAsia="Arial" w:hAnsi="Arial"/>
          <w:b w:val="false"/>
          <w:bCs w:val="false"/>
          <w:i w:val="false"/>
          <w:iCs w:val="false"/>
          <w:color w:val="000000"/>
          <w:sz w:val="20"/>
          <w:szCs w:val="20"/>
        </w:rPr>
        <w:t xml:space="preserve">BYD (Build Your Dreams) was founded in 1995 as a battery manufacturer. This is not a footnote — it is the foundation of BYD's competitive position. BYD entered EV manufacturing from the battery industry, not from the automotive industry.</w:t>
      </w:r>
    </w:p>
    <w:p>
      <w:pPr>
        <w:spacing w:after="80" w:before="40"/>
        <w:jc w:val="left"/>
      </w:pPr>
      <w:r>
        <w:rPr>
          <w:rFonts w:ascii="Arial" w:cs="Arial" w:eastAsia="Arial" w:hAnsi="Arial"/>
          <w:b w:val="false"/>
          <w:bCs w:val="false"/>
          <w:i w:val="false"/>
          <w:iCs w:val="false"/>
          <w:color w:val="000000"/>
          <w:sz w:val="20"/>
          <w:szCs w:val="20"/>
        </w:rPr>
        <w:t xml:space="preserve">In March 2020, BYD announced the Blade Battery — a lithium iron phosphate (LFP) cell in an elongated flat format, enabling cell-to-pack integration that eliminated module-level components. LFP chemistry, long dismissed in the West as too low in energy density, was rehabilitated through structural innovation.</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FFF3CC" w:color="auto" w:val="clear"/>
            <w:tcMar>
              <w:top w:type="dxa" w:w="80"/>
              <w:left w:type="dxa" w:w="160"/>
              <w:bottom w:type="dxa" w:w="40"/>
              <w:right w:type="dxa" w:w="160"/>
            </w:tcMar>
          </w:tcPr>
          <w:p>
            <w:pPr>
              <w:spacing w:after="20" w:before="40"/>
            </w:pPr>
            <w:r>
              <w:rPr>
                <w:rFonts w:ascii="Arial" w:cs="Arial" w:eastAsia="Arial" w:hAnsi="Arial"/>
                <w:b/>
                <w:bCs/>
                <w:color w:val="1A2B3C"/>
                <w:sz w:val="20"/>
                <w:szCs w:val="20"/>
              </w:rPr>
              <w:t xml:space="preserve">LFP vs NMC: Why BYD's chemistry choice matters</w:t>
            </w:r>
          </w:p>
        </w:tc>
      </w:tr>
      <w:tr>
        <w:tc>
          <w:tcPr>
            <w:tcW w:type="dxa" w:w="9070"/>
            <w:shd w:fill="FFF3CC" w:color="auto" w:val="clear"/>
            <w:tcMar>
              <w:top w:type="dxa" w:w="40"/>
              <w:left w:type="dxa" w:w="160"/>
              <w:bottom w:type="dxa" w:w="40"/>
              <w:right w:type="dxa" w:w="160"/>
            </w:tcMar>
          </w:tcPr>
          <w:p>
            <w:pPr>
              <w:spacing w:after="20" w:before="20"/>
            </w:pPr>
            <w:r>
              <w:rPr>
                <w:rFonts w:ascii="Arial" w:cs="Arial" w:eastAsia="Arial" w:hAnsi="Arial"/>
                <w:sz w:val="20"/>
                <w:szCs w:val="20"/>
              </w:rPr>
              <w:t xml:space="preserve">Cost: LFP eliminates cobalt — expensive and geopolitically constrained</w:t>
            </w:r>
          </w:p>
        </w:tc>
      </w:tr>
      <w:tr>
        <w:tc>
          <w:tcPr>
            <w:tcW w:type="dxa" w:w="9070"/>
            <w:shd w:fill="FFF3CC" w:color="auto" w:val="clear"/>
            <w:tcMar>
              <w:top w:type="dxa" w:w="40"/>
              <w:left w:type="dxa" w:w="160"/>
              <w:bottom w:type="dxa" w:w="40"/>
              <w:right w:type="dxa" w:w="160"/>
            </w:tcMar>
          </w:tcPr>
          <w:p>
            <w:pPr>
              <w:spacing w:after="20" w:before="20"/>
            </w:pPr>
            <w:r>
              <w:rPr>
                <w:rFonts w:ascii="Arial" w:cs="Arial" w:eastAsia="Arial" w:hAnsi="Arial"/>
                <w:sz w:val="20"/>
                <w:szCs w:val="20"/>
              </w:rPr>
              <w:t xml:space="preserve">Safety: LFP does not enter thermal runaway under nail penetration (NMC cells failed the same test)</w:t>
            </w:r>
          </w:p>
        </w:tc>
      </w:tr>
      <w:tr>
        <w:tc>
          <w:tcPr>
            <w:tcW w:type="dxa" w:w="9070"/>
            <w:shd w:fill="FFF3CC" w:color="auto" w:val="clear"/>
            <w:tcMar>
              <w:top w:type="dxa" w:w="40"/>
              <w:left w:type="dxa" w:w="160"/>
              <w:bottom w:type="dxa" w:w="40"/>
              <w:right w:type="dxa" w:w="160"/>
            </w:tcMar>
          </w:tcPr>
          <w:p>
            <w:pPr>
              <w:spacing w:after="20" w:before="20"/>
            </w:pPr>
            <w:r>
              <w:rPr>
                <w:rFonts w:ascii="Arial" w:cs="Arial" w:eastAsia="Arial" w:hAnsi="Arial"/>
                <w:sz w:val="20"/>
                <w:szCs w:val="20"/>
              </w:rPr>
              <w:t xml:space="preserve">Cycle life: LFP achieves 3,000+ charge cycles vs. 1,500–2,000 for NMC</w:t>
            </w:r>
          </w:p>
        </w:tc>
      </w:tr>
      <w:tr>
        <w:tc>
          <w:tcPr>
            <w:tcW w:type="dxa" w:w="9070"/>
            <w:shd w:fill="FFF3CC" w:color="auto" w:val="clear"/>
            <w:tcMar>
              <w:top w:type="dxa" w:w="40"/>
              <w:left w:type="dxa" w:w="160"/>
              <w:bottom w:type="dxa" w:w="40"/>
              <w:right w:type="dxa" w:w="160"/>
            </w:tcMar>
          </w:tcPr>
          <w:p>
            <w:pPr>
              <w:spacing w:after="20" w:before="20"/>
            </w:pPr>
            <w:r>
              <w:rPr>
                <w:rFonts w:ascii="Arial" w:cs="Arial" w:eastAsia="Arial" w:hAnsi="Arial"/>
                <w:sz w:val="20"/>
                <w:szCs w:val="20"/>
              </w:rPr>
              <w:t xml:space="preserve">Pack cost: BYD Blade Battery below $85/kWh (2024) — below Tesla's NMC cost floor</w:t>
            </w:r>
          </w:p>
        </w:tc>
      </w:tr>
      <w:tr>
        <w:tc>
          <w:tcPr>
            <w:tcW w:type="dxa" w:w="9070"/>
            <w:shd w:fill="FFF3CC"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Consequence: Tesla has moved toward LFP in standard-range vehicles — a direct acknowledgement</w:t>
            </w:r>
          </w:p>
        </w:tc>
      </w:tr>
    </w:tbl>
    <w:p>
      <w:pPr>
        <w:spacing w:after="100" w:before="0"/>
      </w:pPr>
    </w:p>
    <w:p>
      <w:pPr>
        <w:spacing w:after="60" w:before="20"/>
        <w:jc w:val="left"/>
      </w:pPr>
      <w:r>
        <w:rPr>
          <w:rFonts w:ascii="Arial" w:cs="Arial" w:eastAsia="Arial" w:hAnsi="Arial"/>
          <w:b w:val="false"/>
          <w:bCs w:val="false"/>
          <w:i/>
          <w:iCs/>
          <w:color w:val="595959"/>
          <w:sz w:val="18"/>
          <w:szCs w:val="18"/>
        </w:rPr>
        <w:t xml:space="preserve">Sources: BYD technical documentation 2020; CarnewsChina December 2024</w:t>
      </w:r>
    </w:p>
    <w:p>
      <w:pPr>
        <w:pStyle w:val="Heading2"/>
        <w:spacing w:after="60" w:before="200"/>
      </w:pPr>
      <w:r>
        <w:rPr>
          <w:rFonts w:ascii="Arial" w:cs="Arial" w:eastAsia="Arial" w:hAnsi="Arial"/>
          <w:b/>
          <w:bCs/>
          <w:color w:val="1A2B3C"/>
          <w:sz w:val="22"/>
          <w:szCs w:val="22"/>
        </w:rPr>
        <w:t xml:space="preserve">2.2  Chinese Industrial Policy: The Structural Enabler</w:t>
      </w:r>
    </w:p>
    <w:p>
      <w:pPr>
        <w:spacing w:after="80" w:before="40"/>
        <w:jc w:val="left"/>
      </w:pPr>
      <w:r>
        <w:rPr>
          <w:rFonts w:ascii="Arial" w:cs="Arial" w:eastAsia="Arial" w:hAnsi="Arial"/>
          <w:b w:val="false"/>
          <w:bCs w:val="false"/>
          <w:i w:val="false"/>
          <w:iCs w:val="false"/>
          <w:color w:val="000000"/>
          <w:sz w:val="20"/>
          <w:szCs w:val="20"/>
        </w:rPr>
        <w:t xml:space="preserve">No analysis of China's EV success is credible without confronting state industrial policy. Beginning with the 2009 "Ten Cities, Thousand Vehicles" programme and accelerating through Made in China 2025 (2015), the Chinese government treated EV manufacturing as a strategic national industry and applied policy instruments at every layer of the value chain.</w:t>
      </w:r>
    </w:p>
    <w:p>
      <w:pPr>
        <w:pStyle w:val="ListParagraph"/>
        <w:numPr>
          <w:ilvl w:val="0"/>
          <w:numId w:val="2"/>
        </w:numPr>
        <w:spacing w:after="20" w:before="20"/>
      </w:pPr>
      <w:r>
        <w:rPr>
          <w:rFonts w:ascii="Arial" w:cs="Arial" w:eastAsia="Arial" w:hAnsi="Arial"/>
          <w:sz w:val="20"/>
          <w:szCs w:val="20"/>
        </w:rPr>
        <w:t xml:space="preserve">Demand subsidies: Consumer NEV subsidies 2010–2022, totalling an estimated RMB 200+ billion (~$28 billion USD)</w:t>
      </w:r>
    </w:p>
    <w:p>
      <w:pPr>
        <w:pStyle w:val="ListParagraph"/>
        <w:numPr>
          <w:ilvl w:val="0"/>
          <w:numId w:val="2"/>
        </w:numPr>
        <w:spacing w:after="20" w:before="20"/>
      </w:pPr>
      <w:r>
        <w:rPr>
          <w:rFonts w:ascii="Arial" w:cs="Arial" w:eastAsia="Arial" w:hAnsi="Arial"/>
          <w:sz w:val="20"/>
          <w:szCs w:val="20"/>
        </w:rPr>
        <w:t xml:space="preserve">Supply chain development: State-backed investment in lithium mining, cathode/anode material processing, separator and electrolyte manufacturing</w:t>
      </w:r>
    </w:p>
    <w:p>
      <w:pPr>
        <w:pStyle w:val="ListParagraph"/>
        <w:numPr>
          <w:ilvl w:val="0"/>
          <w:numId w:val="2"/>
        </w:numPr>
        <w:spacing w:after="20" w:before="20"/>
      </w:pPr>
      <w:r>
        <w:rPr>
          <w:rFonts w:ascii="Arial" w:cs="Arial" w:eastAsia="Arial" w:hAnsi="Arial"/>
          <w:sz w:val="20"/>
          <w:szCs w:val="20"/>
        </w:rPr>
        <w:t xml:space="preserve">Charging infrastructure: State-directed deployment at scale no other government matched</w:t>
      </w:r>
    </w:p>
    <w:p>
      <w:pPr>
        <w:pStyle w:val="ListParagraph"/>
        <w:numPr>
          <w:ilvl w:val="0"/>
          <w:numId w:val="2"/>
        </w:numPr>
        <w:spacing w:after="20" w:before="20"/>
      </w:pPr>
      <w:r>
        <w:rPr>
          <w:rFonts w:ascii="Arial" w:cs="Arial" w:eastAsia="Arial" w:hAnsi="Arial"/>
          <w:sz w:val="20"/>
          <w:szCs w:val="20"/>
        </w:rPr>
        <w:t xml:space="preserve">Foreign access constraints: EV joint venture rules requiring technology transfer from OEMs entering China</w:t>
      </w:r>
    </w:p>
    <w:p>
      <w:pPr>
        <w:spacing w:after="60" w:before="20"/>
        <w:jc w:val="left"/>
      </w:pPr>
      <w:r>
        <w:rPr>
          <w:rFonts w:ascii="Arial" w:cs="Arial" w:eastAsia="Arial" w:hAnsi="Arial"/>
          <w:b w:val="false"/>
          <w:bCs w:val="false"/>
          <w:i/>
          <w:iCs/>
          <w:color w:val="595959"/>
          <w:sz w:val="18"/>
          <w:szCs w:val="18"/>
        </w:rPr>
        <w:t xml:space="preserve">Sources: CSIS 2021; Reuters 2022</w:t>
      </w:r>
    </w:p>
    <w:p>
      <w:pPr>
        <w:spacing w:after="80" w:before="40"/>
        <w:jc w:val="left"/>
      </w:pPr>
      <w:r>
        <w:rPr>
          <w:rFonts w:ascii="Arial" w:cs="Arial" w:eastAsia="Arial" w:hAnsi="Arial"/>
          <w:b w:val="false"/>
          <w:bCs w:val="false"/>
          <w:i w:val="false"/>
          <w:iCs w:val="false"/>
          <w:color w:val="000000"/>
          <w:sz w:val="20"/>
          <w:szCs w:val="20"/>
        </w:rPr>
        <w:t xml:space="preserve">The compounding effect: Chinese EV manufacturers today source batteries, motors, power electronics, and software from domestic suppliers at costs Western competitors cannot match — not because Chinese engineers are better, but because the supply chain built under policy direction delivers structurally lower cost.</w:t>
      </w:r>
    </w:p>
    <w:p>
      <w:pPr>
        <w:pStyle w:val="Heading2"/>
        <w:spacing w:after="60" w:before="200"/>
      </w:pPr>
      <w:r>
        <w:rPr>
          <w:rFonts w:ascii="Arial" w:cs="Arial" w:eastAsia="Arial" w:hAnsi="Arial"/>
          <w:b/>
          <w:bCs/>
          <w:color w:val="1A2B3C"/>
          <w:sz w:val="22"/>
          <w:szCs w:val="22"/>
        </w:rPr>
        <w:t xml:space="preserve">2.3  CATL: The Battery Supplier That Controls the Industry</w:t>
      </w:r>
    </w:p>
    <w:p>
      <w:pPr>
        <w:spacing w:after="80" w:before="40"/>
        <w:jc w:val="left"/>
      </w:pPr>
      <w:r>
        <w:rPr>
          <w:rFonts w:ascii="Arial" w:cs="Arial" w:eastAsia="Arial" w:hAnsi="Arial"/>
          <w:b w:val="false"/>
          <w:bCs w:val="false"/>
          <w:i w:val="false"/>
          <w:iCs w:val="false"/>
          <w:color w:val="000000"/>
          <w:sz w:val="20"/>
          <w:szCs w:val="20"/>
        </w:rPr>
        <w:t xml:space="preserve">Contemporary Amperex Technology Company (CATL), founded in 2011 in Ningde, Fujian, is the most strategically significant company in the global EV supply chain. CATL is the world's largest battery manufacturer — nine consecutive years at number one.</w:t>
      </w:r>
    </w:p>
    <w:tbl>
      <w:tblPr>
        <w:tblW w:type="dxa" w:w="9526"/>
        <w:tblBorders>
          <w:top w:val="single" w:color="D9D9D9" w:sz="4"/>
          <w:left w:val="single" w:color="D9D9D9" w:sz="4"/>
          <w:bottom w:val="single" w:color="D9D9D9" w:sz="4"/>
          <w:right w:val="single" w:color="D9D9D9" w:sz="4"/>
          <w:insideH w:val="single" w:color="auto" w:sz="4"/>
          <w:insideV w:val="single" w:color="auto" w:sz="4"/>
        </w:tblBorders>
        <w:tblLayout w:type="fixed"/>
      </w:tblPr>
      <w:tblGrid>
        <w:gridCol w:w="3686"/>
        <w:gridCol w:w="2835"/>
        <w:gridCol w:w="3005"/>
      </w:tblGrid>
      <w:tr>
        <w:trPr>
          <w:tblHeader/>
        </w:trPr>
        <w:tc>
          <w:tcPr>
            <w:tcW w:type="dxa" w:w="3686"/>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Metric</w:t>
            </w:r>
          </w:p>
        </w:tc>
        <w:tc>
          <w:tcPr>
            <w:tcW w:type="dxa" w:w="2835"/>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Figure</w:t>
            </w:r>
          </w:p>
        </w:tc>
        <w:tc>
          <w:tcPr>
            <w:tcW w:type="dxa" w:w="3005"/>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Source</w:t>
            </w:r>
          </w:p>
        </w:tc>
      </w:tr>
      <w:tr>
        <w:tc>
          <w:tcPr>
            <w:tcW w:type="dxa" w:w="3686"/>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CATL 2025 global battery installations</w:t>
            </w:r>
          </w:p>
        </w:tc>
        <w:tc>
          <w:tcPr>
            <w:tcW w:type="dxa" w:w="2835"/>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464.7 GWh (+35.7% YoY)</w:t>
            </w:r>
          </w:p>
        </w:tc>
        <w:tc>
          <w:tcPr>
            <w:tcW w:type="dxa" w:w="3005"/>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CnEVPost, February 2026</w:t>
            </w:r>
          </w:p>
        </w:tc>
      </w:tr>
      <w:tr>
        <w:tc>
          <w:tcPr>
            <w:tcW w:type="dxa" w:w="3686"/>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CATL 2025 global market share</w:t>
            </w:r>
          </w:p>
        </w:tc>
        <w:tc>
          <w:tcPr>
            <w:tcW w:type="dxa" w:w="2835"/>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39.2%</w:t>
            </w:r>
          </w:p>
        </w:tc>
        <w:tc>
          <w:tcPr>
            <w:tcW w:type="dxa" w:w="3005"/>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CnEVPost, February 2026</w:t>
            </w:r>
          </w:p>
        </w:tc>
      </w:tr>
      <w:tr>
        <w:tc>
          <w:tcPr>
            <w:tcW w:type="dxa" w:w="3686"/>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CATL Q1 2026 global market share</w:t>
            </w:r>
          </w:p>
        </w:tc>
        <w:tc>
          <w:tcPr>
            <w:tcW w:type="dxa" w:w="2835"/>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40.7%</w:t>
            </w:r>
          </w:p>
        </w:tc>
        <w:tc>
          <w:tcPr>
            <w:tcW w:type="dxa" w:w="3005"/>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CnEVPost, July 2026</w:t>
            </w:r>
          </w:p>
        </w:tc>
      </w:tr>
      <w:tr>
        <w:tc>
          <w:tcPr>
            <w:tcW w:type="dxa" w:w="3686"/>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Chinese companies total — Jan–Oct 2025</w:t>
            </w:r>
          </w:p>
        </w:tc>
        <w:tc>
          <w:tcPr>
            <w:tcW w:type="dxa" w:w="2835"/>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68.9% of all EV battery installs</w:t>
            </w:r>
          </w:p>
        </w:tc>
        <w:tc>
          <w:tcPr>
            <w:tcW w:type="dxa" w:w="3005"/>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CarbonCredits.com 2025</w:t>
            </w:r>
          </w:p>
        </w:tc>
      </w:tr>
      <w:tr>
        <w:tc>
          <w:tcPr>
            <w:tcW w:type="dxa" w:w="3686"/>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CATL + BYD combined share 2025</w:t>
            </w:r>
          </w:p>
        </w:tc>
        <w:tc>
          <w:tcPr>
            <w:tcW w:type="dxa" w:w="2835"/>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55.6% of global total</w:t>
            </w:r>
          </w:p>
        </w:tc>
        <w:tc>
          <w:tcPr>
            <w:tcW w:type="dxa" w:w="3005"/>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CarbonCredits.com 2025</w:t>
            </w:r>
          </w:p>
        </w:tc>
      </w:tr>
    </w:tbl>
    <w:p>
      <w:pPr>
        <w:spacing w:after="120" w:before="0"/>
      </w:pPr>
    </w:p>
    <w:p>
      <w:pPr>
        <w:spacing w:after="80" w:before="40"/>
        <w:jc w:val="left"/>
      </w:pPr>
      <w:r>
        <w:rPr>
          <w:rFonts w:ascii="Arial" w:cs="Arial" w:eastAsia="Arial" w:hAnsi="Arial"/>
          <w:b w:val="false"/>
          <w:bCs w:val="false"/>
          <w:i w:val="false"/>
          <w:iCs w:val="false"/>
          <w:color w:val="000000"/>
          <w:sz w:val="20"/>
          <w:szCs w:val="20"/>
        </w:rPr>
        <w:t xml:space="preserve">CATL's customers include Tesla, BMW, Mercedes-Benz, Volkswagen, and every major Chinese EV brand. This is the strategic paradox: Tesla's competitors' batteries are supplied by CATL, but so are Tesla's own batteries for some vehicle lines. CATL has positioned itself as indispensable infrastructure of the global EV transition.</w:t>
      </w:r>
    </w:p>
    <w:p>
      <w:pPr>
        <w:pStyle w:val="Heading2"/>
        <w:spacing w:after="60" w:before="200"/>
      </w:pPr>
      <w:r>
        <w:rPr>
          <w:rFonts w:ascii="Arial" w:cs="Arial" w:eastAsia="Arial" w:hAnsi="Arial"/>
          <w:b/>
          <w:bCs/>
          <w:color w:val="1A2B3C"/>
          <w:sz w:val="22"/>
          <w:szCs w:val="22"/>
        </w:rPr>
        <w:t xml:space="preserve">2.4  How Chinese EV Brands Applied and Extended the Tesla Model</w:t>
      </w:r>
    </w:p>
    <w:p>
      <w:pPr>
        <w:spacing w:after="80" w:before="40"/>
        <w:jc w:val="left"/>
      </w:pPr>
      <w:r>
        <w:rPr>
          <w:rFonts w:ascii="Arial" w:cs="Arial" w:eastAsia="Arial" w:hAnsi="Arial"/>
          <w:b w:val="false"/>
          <w:bCs w:val="false"/>
          <w:i w:val="false"/>
          <w:iCs w:val="false"/>
          <w:color w:val="000000"/>
          <w:sz w:val="20"/>
          <w:szCs w:val="20"/>
        </w:rPr>
        <w:t xml:space="preserve">Chinese EV brands studied Tesla's vertical integration model and replicated it, then extended it in directions Tesla had not pursued:</w:t>
      </w:r>
    </w:p>
    <w:p>
      <w:pPr>
        <w:spacing w:after="80" w:before="40"/>
        <w:jc w:val="left"/>
      </w:pPr>
      <w:r>
        <w:rPr>
          <w:rFonts w:ascii="Arial" w:cs="Arial" w:eastAsia="Arial" w:hAnsi="Arial"/>
          <w:b/>
          <w:bCs/>
          <w:i w:val="false"/>
          <w:iCs w:val="false"/>
          <w:color w:val="000000"/>
          <w:sz w:val="20"/>
          <w:szCs w:val="20"/>
        </w:rPr>
        <w:t xml:space="preserve">BYD — most vertically integrated automaker on earth:</w:t>
      </w:r>
    </w:p>
    <w:p>
      <w:pPr>
        <w:pStyle w:val="ListParagraph"/>
        <w:numPr>
          <w:ilvl w:val="0"/>
          <w:numId w:val="2"/>
        </w:numPr>
        <w:spacing w:after="20" w:before="20"/>
      </w:pPr>
      <w:r>
        <w:rPr>
          <w:rFonts w:ascii="Arial" w:cs="Arial" w:eastAsia="Arial" w:hAnsi="Arial"/>
          <w:sz w:val="20"/>
          <w:szCs w:val="20"/>
        </w:rPr>
        <w:t xml:space="preserve">Produces its own battery cells, motors, power semiconductors (IGBT, SiC chips — BYD Semiconductor subsidiary), and vehicle software</w:t>
      </w:r>
    </w:p>
    <w:p>
      <w:pPr>
        <w:pStyle w:val="ListParagraph"/>
        <w:numPr>
          <w:ilvl w:val="0"/>
          <w:numId w:val="2"/>
        </w:numPr>
        <w:spacing w:after="20" w:before="20"/>
      </w:pPr>
      <w:r>
        <w:rPr>
          <w:rFonts w:ascii="Arial" w:cs="Arial" w:eastAsia="Arial" w:hAnsi="Arial"/>
          <w:sz w:val="20"/>
          <w:szCs w:val="20"/>
        </w:rPr>
        <w:t xml:space="preserve">DM (Dual Mode) plug-in hybrid system: an extended-range EV architecture delivering remarkable efficiency in markets where pure-BEV range anxiety remained a barrier</w:t>
      </w:r>
    </w:p>
    <w:p>
      <w:pPr>
        <w:pStyle w:val="ListParagraph"/>
        <w:numPr>
          <w:ilvl w:val="0"/>
          <w:numId w:val="2"/>
        </w:numPr>
        <w:spacing w:after="20" w:before="20"/>
      </w:pPr>
      <w:r>
        <w:rPr>
          <w:rFonts w:ascii="Arial" w:cs="Arial" w:eastAsia="Arial" w:hAnsi="Arial"/>
          <w:sz w:val="20"/>
          <w:szCs w:val="20"/>
        </w:rPr>
        <w:t xml:space="preserve">2025 global NEV sales: 2.26 million (+28%) vs Tesla 1.64 million (-10%)</w:t>
      </w:r>
    </w:p>
    <w:p>
      <w:pPr>
        <w:spacing w:after="60" w:before="0"/>
      </w:pPr>
    </w:p>
    <w:p>
      <w:pPr>
        <w:spacing w:after="80" w:before="40"/>
        <w:jc w:val="left"/>
      </w:pPr>
      <w:r>
        <w:rPr>
          <w:rFonts w:ascii="Arial" w:cs="Arial" w:eastAsia="Arial" w:hAnsi="Arial"/>
          <w:b/>
          <w:bCs/>
          <w:i w:val="false"/>
          <w:iCs w:val="false"/>
          <w:color w:val="000000"/>
          <w:sz w:val="20"/>
          <w:szCs w:val="20"/>
        </w:rPr>
        <w:t xml:space="preserve">NIO — the battery swap model:</w:t>
      </w:r>
    </w:p>
    <w:p>
      <w:pPr>
        <w:pStyle w:val="ListParagraph"/>
        <w:numPr>
          <w:ilvl w:val="0"/>
          <w:numId w:val="2"/>
        </w:numPr>
        <w:spacing w:after="20" w:before="20"/>
      </w:pPr>
      <w:r>
        <w:rPr>
          <w:rFonts w:ascii="Arial" w:cs="Arial" w:eastAsia="Arial" w:hAnsi="Arial"/>
          <w:sz w:val="20"/>
          <w:szCs w:val="20"/>
        </w:rPr>
        <w:t xml:space="preserve">Power Swap Stations exchange a depleted pack for a fully charged one in under five minutes</w:t>
      </w:r>
    </w:p>
    <w:p>
      <w:pPr>
        <w:pStyle w:val="ListParagraph"/>
        <w:numPr>
          <w:ilvl w:val="0"/>
          <w:numId w:val="2"/>
        </w:numPr>
        <w:spacing w:after="20" w:before="20"/>
      </w:pPr>
      <w:r>
        <w:rPr>
          <w:rFonts w:ascii="Arial" w:cs="Arial" w:eastAsia="Arial" w:hAnsi="Arial"/>
          <w:sz w:val="20"/>
          <w:szCs w:val="20"/>
        </w:rPr>
        <w:t xml:space="preserve">2,500+ swap stations in China by 2025; deployed in Europe (Norway, Germany, Netherlands)</w:t>
      </w:r>
    </w:p>
    <w:p>
      <w:pPr>
        <w:pStyle w:val="ListParagraph"/>
        <w:numPr>
          <w:ilvl w:val="0"/>
          <w:numId w:val="2"/>
        </w:numPr>
        <w:spacing w:after="20" w:before="20"/>
      </w:pPr>
      <w:r>
        <w:rPr>
          <w:rFonts w:ascii="Arial" w:cs="Arial" w:eastAsia="Arial" w:hAnsi="Arial"/>
          <w:sz w:val="20"/>
          <w:szCs w:val="20"/>
        </w:rPr>
        <w:t xml:space="preserve">Battery-as-a-service: customers lease the battery separately — lowers upfront cost, creates recurring revenue</w:t>
      </w:r>
    </w:p>
    <w:p>
      <w:pPr>
        <w:spacing w:after="60" w:before="0"/>
      </w:pPr>
    </w:p>
    <w:p>
      <w:pPr>
        <w:spacing w:after="80" w:before="40"/>
        <w:jc w:val="left"/>
      </w:pPr>
      <w:r>
        <w:rPr>
          <w:rFonts w:ascii="Arial" w:cs="Arial" w:eastAsia="Arial" w:hAnsi="Arial"/>
          <w:b/>
          <w:bCs/>
          <w:i w:val="false"/>
          <w:iCs w:val="false"/>
          <w:color w:val="000000"/>
          <w:sz w:val="20"/>
          <w:szCs w:val="20"/>
        </w:rPr>
        <w:t xml:space="preserve">Li Auto — the pragmatic EREV approach:</w:t>
      </w:r>
    </w:p>
    <w:p>
      <w:pPr>
        <w:pStyle w:val="ListParagraph"/>
        <w:numPr>
          <w:ilvl w:val="0"/>
          <w:numId w:val="2"/>
        </w:numPr>
        <w:spacing w:after="20" w:before="20"/>
      </w:pPr>
      <w:r>
        <w:rPr>
          <w:rFonts w:ascii="Arial" w:cs="Arial" w:eastAsia="Arial" w:hAnsi="Arial"/>
          <w:sz w:val="20"/>
          <w:szCs w:val="20"/>
        </w:rPr>
        <w:t xml:space="preserve">Extended-range EV with a small petrol generator — eliminates range anxiety entirely</w:t>
      </w:r>
    </w:p>
    <w:p>
      <w:pPr>
        <w:pStyle w:val="ListParagraph"/>
        <w:numPr>
          <w:ilvl w:val="0"/>
          <w:numId w:val="2"/>
        </w:numPr>
        <w:spacing w:after="20" w:before="20"/>
      </w:pPr>
      <w:r>
        <w:rPr>
          <w:rFonts w:ascii="Arial" w:cs="Arial" w:eastAsia="Arial" w:hAnsi="Arial"/>
          <w:sz w:val="20"/>
          <w:szCs w:val="20"/>
        </w:rPr>
        <w:t xml:space="preserve">Engineering principle: solve the customer problem with available technology, rather than wait for battery technology to solve it</w:t>
      </w:r>
    </w:p>
    <w:p>
      <w:pPr>
        <w:spacing w:after="60" w:before="0"/>
      </w:pPr>
    </w:p>
    <w:p>
      <w:pPr>
        <w:spacing w:after="80" w:before="40"/>
        <w:jc w:val="left"/>
      </w:pPr>
      <w:r>
        <w:rPr>
          <w:rFonts w:ascii="Arial" w:cs="Arial" w:eastAsia="Arial" w:hAnsi="Arial"/>
          <w:b/>
          <w:bCs/>
          <w:i w:val="false"/>
          <w:iCs w:val="false"/>
          <w:color w:val="000000"/>
          <w:sz w:val="20"/>
          <w:szCs w:val="20"/>
        </w:rPr>
        <w:t xml:space="preserve">Xpeng — software-defined vehicle leadership:</w:t>
      </w:r>
    </w:p>
    <w:p>
      <w:pPr>
        <w:pStyle w:val="ListParagraph"/>
        <w:numPr>
          <w:ilvl w:val="0"/>
          <w:numId w:val="2"/>
        </w:numPr>
        <w:spacing w:after="20" w:before="20"/>
      </w:pPr>
      <w:r>
        <w:rPr>
          <w:rFonts w:ascii="Arial" w:cs="Arial" w:eastAsia="Arial" w:hAnsi="Arial"/>
          <w:sz w:val="20"/>
          <w:szCs w:val="20"/>
        </w:rPr>
        <w:t xml:space="preserve">XNGP autonomous driving system; XEEA 3.0 centralised electrical architecture; Turing AI chip designed in-house</w:t>
      </w:r>
    </w:p>
    <w:p>
      <w:pPr>
        <w:pStyle w:val="ListParagraph"/>
        <w:numPr>
          <w:ilvl w:val="0"/>
          <w:numId w:val="2"/>
        </w:numPr>
        <w:spacing w:after="20" w:before="20"/>
      </w:pPr>
      <w:r>
        <w:rPr>
          <w:rFonts w:ascii="Arial" w:cs="Arial" w:eastAsia="Arial" w:hAnsi="Arial"/>
          <w:sz w:val="20"/>
          <w:szCs w:val="20"/>
        </w:rPr>
        <w:t xml:space="preserve">~430,000 deliveries globally by 2025; present in 26 countries</w:t>
      </w:r>
    </w:p>
    <w:p>
      <w:pPr>
        <w:spacing w:after="60" w:before="20"/>
        <w:jc w:val="left"/>
      </w:pPr>
      <w:r>
        <w:rPr>
          <w:rFonts w:ascii="Arial" w:cs="Arial" w:eastAsia="Arial" w:hAnsi="Arial"/>
          <w:b w:val="false"/>
          <w:bCs w:val="false"/>
          <w:i/>
          <w:iCs/>
          <w:color w:val="595959"/>
          <w:sz w:val="18"/>
          <w:szCs w:val="18"/>
        </w:rPr>
        <w:t xml:space="preserve">Source: AutoChina.blog 2026</w:t>
      </w:r>
    </w:p>
    <w:p>
      <w:pPr>
        <w:pStyle w:val="Heading2"/>
        <w:spacing w:after="60" w:before="200"/>
      </w:pPr>
      <w:r>
        <w:rPr>
          <w:rFonts w:ascii="Arial" w:cs="Arial" w:eastAsia="Arial" w:hAnsi="Arial"/>
          <w:b/>
          <w:bCs/>
          <w:color w:val="1A2B3C"/>
          <w:sz w:val="22"/>
          <w:szCs w:val="22"/>
        </w:rPr>
        <w:t xml:space="preserve">2.5  China's Supply Chain: A Structural Moat</w:t>
      </w:r>
    </w:p>
    <w:p>
      <w:pPr>
        <w:spacing w:after="80" w:before="40"/>
        <w:jc w:val="left"/>
      </w:pPr>
      <w:r>
        <w:rPr>
          <w:rFonts w:ascii="Arial" w:cs="Arial" w:eastAsia="Arial" w:hAnsi="Arial"/>
          <w:b w:val="false"/>
          <w:bCs w:val="false"/>
          <w:i w:val="false"/>
          <w:iCs w:val="false"/>
          <w:color w:val="000000"/>
          <w:sz w:val="20"/>
          <w:szCs w:val="20"/>
        </w:rPr>
        <w:t xml:space="preserve">China's battery supply chain dominance is not simply a cost advantage — it is a structural moat that compounds over time:</w:t>
      </w:r>
    </w:p>
    <w:tbl>
      <w:tblPr>
        <w:tblW w:type="dxa" w:w="9527"/>
        <w:tblBorders>
          <w:top w:val="single" w:color="D9D9D9" w:sz="4"/>
          <w:left w:val="single" w:color="D9D9D9" w:sz="4"/>
          <w:bottom w:val="single" w:color="D9D9D9" w:sz="4"/>
          <w:right w:val="single" w:color="D9D9D9" w:sz="4"/>
          <w:insideH w:val="single" w:color="auto" w:sz="4"/>
          <w:insideV w:val="single" w:color="auto" w:sz="4"/>
        </w:tblBorders>
        <w:tblLayout w:type="fixed"/>
      </w:tblPr>
      <w:tblGrid>
        <w:gridCol w:w="3119"/>
        <w:gridCol w:w="2552"/>
        <w:gridCol w:w="3856"/>
      </w:tblGrid>
      <w:tr>
        <w:trPr>
          <w:tblHeader/>
        </w:trPr>
        <w:tc>
          <w:tcPr>
            <w:tcW w:type="dxa" w:w="3119"/>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Material / Process</w:t>
            </w:r>
          </w:p>
        </w:tc>
        <w:tc>
          <w:tcPr>
            <w:tcW w:type="dxa" w:w="2552"/>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China's Share</w:t>
            </w:r>
          </w:p>
        </w:tc>
        <w:tc>
          <w:tcPr>
            <w:tcW w:type="dxa" w:w="3856"/>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Notes</w:t>
            </w:r>
          </w:p>
        </w:tc>
      </w:tr>
      <w:tr>
        <w:tc>
          <w:tcPr>
            <w:tcW w:type="dxa" w:w="311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LFP active material production</w:t>
            </w:r>
          </w:p>
        </w:tc>
        <w:tc>
          <w:tcPr>
            <w:tcW w:type="dxa" w:w="2552"/>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~98% of global supply</w:t>
            </w:r>
          </w:p>
        </w:tc>
        <w:tc>
          <w:tcPr>
            <w:tcW w:type="dxa" w:w="3856"/>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CarbonCredits.com 2025</w:t>
            </w:r>
          </w:p>
        </w:tc>
      </w:tr>
      <w:tr>
        <w:tc>
          <w:tcPr>
            <w:tcW w:type="dxa" w:w="311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Lithium hydroxide refining</w:t>
            </w:r>
          </w:p>
        </w:tc>
        <w:tc>
          <w:tcPr>
            <w:tcW w:type="dxa" w:w="2552"/>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Majority of global capacity</w:t>
            </w:r>
          </w:p>
        </w:tc>
        <w:tc>
          <w:tcPr>
            <w:tcW w:type="dxa" w:w="3856"/>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Source of material: Australia/Chile; refining: China</w:t>
            </w:r>
          </w:p>
        </w:tc>
      </w:tr>
      <w:tr>
        <w:tc>
          <w:tcPr>
            <w:tcW w:type="dxa" w:w="311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Cobalt refining</w:t>
            </w:r>
          </w:p>
        </w:tc>
        <w:tc>
          <w:tcPr>
            <w:tcW w:type="dxa" w:w="2552"/>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~70%+ (Congolese ore → China)</w:t>
            </w:r>
          </w:p>
        </w:tc>
        <w:tc>
          <w:tcPr>
            <w:tcW w:type="dxa" w:w="3856"/>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Geopolitical concentration risk</w:t>
            </w:r>
          </w:p>
        </w:tc>
      </w:tr>
      <w:tr>
        <w:tc>
          <w:tcPr>
            <w:tcW w:type="dxa" w:w="311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Battery separators</w:t>
            </w:r>
          </w:p>
        </w:tc>
        <w:tc>
          <w:tcPr>
            <w:tcW w:type="dxa" w:w="2552"/>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Majority of global production</w:t>
            </w:r>
          </w:p>
        </w:tc>
        <w:tc>
          <w:tcPr>
            <w:tcW w:type="dxa" w:w="3856"/>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Critical safety component</w:t>
            </w:r>
          </w:p>
        </w:tc>
      </w:tr>
      <w:tr>
        <w:tc>
          <w:tcPr>
            <w:tcW w:type="dxa" w:w="311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Battery cost vs. EU/US</w:t>
            </w:r>
          </w:p>
        </w:tc>
        <w:tc>
          <w:tcPr>
            <w:tcW w:type="dxa" w:w="2552"/>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20–30% lower per kWh</w:t>
            </w:r>
          </w:p>
        </w:tc>
        <w:tc>
          <w:tcPr>
            <w:tcW w:type="dxa" w:w="3856"/>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Structural, not efficiency-based — supply chain depth</w:t>
            </w:r>
          </w:p>
        </w:tc>
      </w:tr>
    </w:tbl>
    <w:p>
      <w:pPr>
        <w:spacing w:after="120" w:before="0"/>
      </w:pPr>
    </w:p>
    <w:p>
      <w:pPr>
        <w:spacing w:after="80" w:before="40"/>
        <w:jc w:val="left"/>
      </w:pPr>
      <w:r>
        <w:rPr>
          <w:rFonts w:ascii="Arial" w:cs="Arial" w:eastAsia="Arial" w:hAnsi="Arial"/>
          <w:b w:val="false"/>
          <w:bCs w:val="false"/>
          <w:i w:val="false"/>
          <w:iCs w:val="false"/>
          <w:color w:val="000000"/>
          <w:sz w:val="20"/>
          <w:szCs w:val="20"/>
        </w:rPr>
        <w:t xml:space="preserve">In July 2025, China added battery cathode material preparation technologies to its export control list — a signal that Beijing is willing to weaponise supply chain position for geopolitical purposes.</w:t>
      </w:r>
    </w:p>
    <w:p>
      <w:pPr>
        <w:spacing w:after="60" w:before="20"/>
        <w:jc w:val="left"/>
      </w:pPr>
      <w:r>
        <w:rPr>
          <w:rFonts w:ascii="Arial" w:cs="Arial" w:eastAsia="Arial" w:hAnsi="Arial"/>
          <w:b w:val="false"/>
          <w:bCs w:val="false"/>
          <w:i/>
          <w:iCs/>
          <w:color w:val="595959"/>
          <w:sz w:val="18"/>
          <w:szCs w:val="18"/>
        </w:rPr>
        <w:t xml:space="preserve">Source: Battery-energy-storage-system.com 2025</w:t>
      </w:r>
    </w:p>
    <w:p>
      <w:pPr>
        <w:pStyle w:val="Heading2"/>
        <w:spacing w:after="60" w:before="200"/>
      </w:pPr>
      <w:r>
        <w:rPr>
          <w:rFonts w:ascii="Arial" w:cs="Arial" w:eastAsia="Arial" w:hAnsi="Arial"/>
          <w:b/>
          <w:bCs/>
          <w:color w:val="1A2B3C"/>
          <w:sz w:val="22"/>
          <w:szCs w:val="22"/>
        </w:rPr>
        <w:t xml:space="preserve">2.6  Market Share: Where Things Stand (July 2026)</w:t>
      </w:r>
    </w:p>
    <w:tbl>
      <w:tblPr>
        <w:tblW w:type="dxa" w:w="9527"/>
        <w:tblBorders>
          <w:top w:val="single" w:color="D9D9D9" w:sz="4"/>
          <w:left w:val="single" w:color="D9D9D9" w:sz="4"/>
          <w:bottom w:val="single" w:color="D9D9D9" w:sz="4"/>
          <w:right w:val="single" w:color="D9D9D9" w:sz="4"/>
          <w:insideH w:val="single" w:color="auto" w:sz="4"/>
          <w:insideV w:val="single" w:color="auto" w:sz="4"/>
        </w:tblBorders>
        <w:tblLayout w:type="fixed"/>
      </w:tblPr>
      <w:tblGrid>
        <w:gridCol w:w="3686"/>
        <w:gridCol w:w="2552"/>
        <w:gridCol w:w="3289"/>
      </w:tblGrid>
      <w:tr>
        <w:trPr>
          <w:tblHeader/>
        </w:trPr>
        <w:tc>
          <w:tcPr>
            <w:tcW w:type="dxa" w:w="3686"/>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Metric</w:t>
            </w:r>
          </w:p>
        </w:tc>
        <w:tc>
          <w:tcPr>
            <w:tcW w:type="dxa" w:w="2552"/>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Figure</w:t>
            </w:r>
          </w:p>
        </w:tc>
        <w:tc>
          <w:tcPr>
            <w:tcW w:type="dxa" w:w="3289"/>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Source</w:t>
            </w:r>
          </w:p>
        </w:tc>
      </w:tr>
      <w:tr>
        <w:tc>
          <w:tcPr>
            <w:tcW w:type="dxa" w:w="3686"/>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2025 global NEV sales</w:t>
            </w:r>
          </w:p>
        </w:tc>
        <w:tc>
          <w:tcPr>
            <w:tcW w:type="dxa" w:w="2552"/>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2.26 million (+28%)</w:t>
            </w:r>
          </w:p>
        </w:tc>
        <w:tc>
          <w:tcPr>
            <w:tcW w:type="dxa" w:w="328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CNBC January 2026</w:t>
            </w:r>
          </w:p>
        </w:tc>
      </w:tr>
      <w:tr>
        <w:tc>
          <w:tcPr>
            <w:tcW w:type="dxa" w:w="3686"/>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Tesla 2025 global deliveries</w:t>
            </w:r>
          </w:p>
        </w:tc>
        <w:tc>
          <w:tcPr>
            <w:tcW w:type="dxa" w:w="2552"/>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1.64 million (-10%)</w:t>
            </w:r>
          </w:p>
        </w:tc>
        <w:tc>
          <w:tcPr>
            <w:tcW w:type="dxa" w:w="328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CNBC January 2026; InsideEVs 2026</w:t>
            </w:r>
          </w:p>
        </w:tc>
      </w:tr>
      <w:tr>
        <w:tc>
          <w:tcPr>
            <w:tcW w:type="dxa" w:w="3686"/>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Tesla Q1 2026 deliveries (pure-BEV)</w:t>
            </w:r>
          </w:p>
        </w:tc>
        <w:tc>
          <w:tcPr>
            <w:tcW w:type="dxa" w:w="2552"/>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358,023</w:t>
            </w:r>
          </w:p>
        </w:tc>
        <w:tc>
          <w:tcPr>
            <w:tcW w:type="dxa" w:w="328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InsideEVs Q1 2026</w:t>
            </w:r>
          </w:p>
        </w:tc>
      </w:tr>
      <w:tr>
        <w:tc>
          <w:tcPr>
            <w:tcW w:type="dxa" w:w="3686"/>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Q1 2026 pure-BEV deliveries</w:t>
            </w:r>
          </w:p>
        </w:tc>
        <w:tc>
          <w:tcPr>
            <w:tcW w:type="dxa" w:w="2552"/>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310,389 (down 25% — model cycle)</w:t>
            </w:r>
          </w:p>
        </w:tc>
        <w:tc>
          <w:tcPr>
            <w:tcW w:type="dxa" w:w="328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InsideEVs Q1 2026</w:t>
            </w:r>
          </w:p>
        </w:tc>
      </w:tr>
      <w:tr>
        <w:tc>
          <w:tcPr>
            <w:tcW w:type="dxa" w:w="3686"/>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CATL battery share Jan–May 2026</w:t>
            </w:r>
          </w:p>
        </w:tc>
        <w:tc>
          <w:tcPr>
            <w:tcW w:type="dxa" w:w="2552"/>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40.2%</w:t>
            </w:r>
          </w:p>
        </w:tc>
        <w:tc>
          <w:tcPr>
            <w:tcW w:type="dxa" w:w="328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CnEVPost July 2026</w:t>
            </w:r>
          </w:p>
        </w:tc>
      </w:tr>
      <w:tr>
        <w:tc>
          <w:tcPr>
            <w:tcW w:type="dxa" w:w="3686"/>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Europe 2025</w:t>
            </w:r>
          </w:p>
        </w:tc>
        <w:tc>
          <w:tcPr>
            <w:tcW w:type="dxa" w:w="2552"/>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188,000 units (approx. 4× 2024)</w:t>
            </w:r>
          </w:p>
        </w:tc>
        <w:tc>
          <w:tcPr>
            <w:tcW w:type="dxa" w:w="328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AutoChina.blog 2026</w:t>
            </w:r>
          </w:p>
        </w:tc>
      </w:tr>
      <w:tr>
        <w:tc>
          <w:tcPr>
            <w:tcW w:type="dxa" w:w="3686"/>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China total auto exports 2025</w:t>
            </w:r>
          </w:p>
        </w:tc>
        <w:tc>
          <w:tcPr>
            <w:tcW w:type="dxa" w:w="2552"/>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7.1 million (+21.8%)</w:t>
            </w:r>
          </w:p>
        </w:tc>
        <w:tc>
          <w:tcPr>
            <w:tcW w:type="dxa" w:w="328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CarnewsChina 2025</w:t>
            </w:r>
          </w:p>
        </w:tc>
      </w:tr>
    </w:tbl>
    <w:p>
      <w:pPr>
        <w:spacing w:after="120" w:before="0"/>
      </w:pPr>
    </w:p>
    <w:p>
      <w:r>
        <w:br w:type="page"/>
      </w:r>
    </w:p>
    <w:p>
      <w:pPr>
        <w:pStyle w:val="Heading1"/>
        <w:pBdr>
          <w:bottom w:val="single" w:color="1F497D" w:sz="6" w:space="4"/>
        </w:pBdr>
        <w:spacing w:after="80" w:before="280"/>
      </w:pPr>
      <w:r>
        <w:rPr>
          <w:rFonts w:ascii="Arial" w:cs="Arial" w:eastAsia="Arial" w:hAnsi="Arial"/>
          <w:b/>
          <w:bCs/>
          <w:color w:val="1F497D"/>
          <w:sz w:val="26"/>
          <w:szCs w:val="26"/>
        </w:rPr>
        <w:t xml:space="preserve">PART 3 — ENGINEERING MANAGER EDUCATION: TEN LESSONS</w:t>
      </w:r>
    </w:p>
    <w:p>
      <w:pPr>
        <w:pStyle w:val="Heading2"/>
        <w:spacing w:after="60" w:before="200"/>
      </w:pPr>
      <w:r>
        <w:rPr>
          <w:rFonts w:ascii="Arial" w:cs="Arial" w:eastAsia="Arial" w:hAnsi="Arial"/>
          <w:b/>
          <w:bCs/>
          <w:color w:val="1A2B3C"/>
          <w:sz w:val="22"/>
          <w:szCs w:val="22"/>
        </w:rPr>
        <w:t xml:space="preserve">Lesson 1: First Principles vs. Analogy — How to Apply This in an Engineering Team</w:t>
      </w:r>
    </w:p>
    <w:p>
      <w:pPr>
        <w:spacing w:after="80" w:before="40"/>
        <w:jc w:val="left"/>
      </w:pPr>
      <w:r>
        <w:rPr>
          <w:rFonts w:ascii="Arial" w:cs="Arial" w:eastAsia="Arial" w:hAnsi="Arial"/>
          <w:b/>
          <w:bCs/>
          <w:i w:val="false"/>
          <w:iCs w:val="false"/>
          <w:color w:val="000000"/>
          <w:sz w:val="20"/>
          <w:szCs w:val="20"/>
        </w:rPr>
        <w:t xml:space="preserve">What happened:</w:t>
      </w:r>
    </w:p>
    <w:p>
      <w:pPr>
        <w:spacing w:after="80" w:before="40"/>
        <w:jc w:val="left"/>
      </w:pPr>
      <w:r>
        <w:rPr>
          <w:rFonts w:ascii="Arial" w:cs="Arial" w:eastAsia="Arial" w:hAnsi="Arial"/>
          <w:b w:val="false"/>
          <w:bCs w:val="false"/>
          <w:i w:val="false"/>
          <w:iCs w:val="false"/>
          <w:color w:val="000000"/>
          <w:sz w:val="20"/>
          <w:szCs w:val="20"/>
        </w:rPr>
        <w:t xml:space="preserve">Tesla's engineers routinely asked "what does physics allow?" before asking "what does the industry do?" This produced non-obvious conclusions: that battery cost was a manufacturing problem, that casting could replace welded assembly, that wiring could be radically simplified.</w:t>
      </w:r>
    </w:p>
    <w:p>
      <w:pPr>
        <w:spacing w:after="80" w:before="40"/>
        <w:jc w:val="left"/>
      </w:pPr>
      <w:r>
        <w:rPr>
          <w:rFonts w:ascii="Arial" w:cs="Arial" w:eastAsia="Arial" w:hAnsi="Arial"/>
          <w:b/>
          <w:bCs/>
          <w:i w:val="false"/>
          <w:iCs w:val="false"/>
          <w:color w:val="000000"/>
          <w:sz w:val="20"/>
          <w:szCs w:val="20"/>
        </w:rPr>
        <w:t xml:space="preserve">What it means for an engineering manager:</w:t>
      </w:r>
    </w:p>
    <w:p>
      <w:pPr>
        <w:spacing w:after="80" w:before="40"/>
        <w:jc w:val="left"/>
      </w:pPr>
      <w:r>
        <w:rPr>
          <w:rFonts w:ascii="Arial" w:cs="Arial" w:eastAsia="Arial" w:hAnsi="Arial"/>
          <w:b w:val="false"/>
          <w:bCs w:val="false"/>
          <w:i w:val="false"/>
          <w:iCs w:val="false"/>
          <w:color w:val="000000"/>
          <w:sz w:val="20"/>
          <w:szCs w:val="20"/>
        </w:rPr>
        <w:t xml:space="preserve">Most engineering teams default to analogy-based reasoning — we do things the way they were done before, or the way competitors do them. This caps performance at the current system's ceiling. The manager's job is to create the conditions where assumptions can be questioned without career risk.</w:t>
      </w:r>
    </w:p>
    <w:p>
      <w:pPr>
        <w:spacing w:after="80" w:before="40"/>
        <w:jc w:val="left"/>
      </w:pPr>
      <w:r>
        <w:rPr>
          <w:rFonts w:ascii="Arial" w:cs="Arial" w:eastAsia="Arial" w:hAnsi="Arial"/>
          <w:b/>
          <w:bCs/>
          <w:i w:val="false"/>
          <w:iCs w:val="false"/>
          <w:color w:val="000000"/>
          <w:sz w:val="20"/>
          <w:szCs w:val="20"/>
        </w:rPr>
        <w:t xml:space="preserve">Practical application:</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D6E4F0"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At the start of any major design project, run a "physics floor" session: what does physical law, material science, or economic reality actually allow? List all current-practice assumptions explicitly and mark them as assumptions, not facts. Decide consciously which ones to accept and which to challenge.</w:t>
            </w:r>
          </w:p>
        </w:tc>
      </w:tr>
    </w:tbl>
    <w:p>
      <w:pPr>
        <w:spacing w:after="100" w:before="0"/>
      </w:pPr>
    </w:p>
    <w:p>
      <w:pPr>
        <w:pStyle w:val="Heading2"/>
        <w:spacing w:after="60" w:before="200"/>
      </w:pPr>
      <w:r>
        <w:rPr>
          <w:rFonts w:ascii="Arial" w:cs="Arial" w:eastAsia="Arial" w:hAnsi="Arial"/>
          <w:b/>
          <w:bCs/>
          <w:color w:val="1A2B3C"/>
          <w:sz w:val="22"/>
          <w:szCs w:val="22"/>
        </w:rPr>
        <w:t xml:space="preserve">Lesson 2: Manufacturing IS Engineering — The Product Is the Process</w:t>
      </w:r>
    </w:p>
    <w:p>
      <w:pPr>
        <w:spacing w:after="80" w:before="40"/>
        <w:jc w:val="left"/>
      </w:pPr>
      <w:r>
        <w:rPr>
          <w:rFonts w:ascii="Arial" w:cs="Arial" w:eastAsia="Arial" w:hAnsi="Arial"/>
          <w:b/>
          <w:bCs/>
          <w:i w:val="false"/>
          <w:iCs w:val="false"/>
          <w:color w:val="000000"/>
          <w:sz w:val="20"/>
          <w:szCs w:val="20"/>
        </w:rPr>
        <w:t xml:space="preserve">What happened:</w:t>
      </w:r>
    </w:p>
    <w:p>
      <w:pPr>
        <w:spacing w:after="80" w:before="40"/>
        <w:jc w:val="left"/>
      </w:pPr>
      <w:r>
        <w:rPr>
          <w:rFonts w:ascii="Arial" w:cs="Arial" w:eastAsia="Arial" w:hAnsi="Arial"/>
          <w:b w:val="false"/>
          <w:bCs w:val="false"/>
          <w:i w:val="false"/>
          <w:iCs w:val="false"/>
          <w:color w:val="000000"/>
          <w:sz w:val="20"/>
          <w:szCs w:val="20"/>
        </w:rPr>
        <w:t xml:space="preserve">Tesla's decisive innovation was not a vehicle — it was a factory philosophy. The Giga Press, the structural battery pack, the 48V zonal architecture, and single-piece casting were manufacturing innovations as much as product innovations.</w:t>
      </w:r>
    </w:p>
    <w:p>
      <w:pPr>
        <w:spacing w:after="80" w:before="40"/>
        <w:jc w:val="left"/>
      </w:pPr>
      <w:r>
        <w:rPr>
          <w:rFonts w:ascii="Arial" w:cs="Arial" w:eastAsia="Arial" w:hAnsi="Arial"/>
          <w:b/>
          <w:bCs/>
          <w:i w:val="false"/>
          <w:iCs w:val="false"/>
          <w:color w:val="000000"/>
          <w:sz w:val="20"/>
          <w:szCs w:val="20"/>
        </w:rPr>
        <w:t xml:space="preserve">What it means for an engineering manager:</w:t>
      </w:r>
    </w:p>
    <w:p>
      <w:pPr>
        <w:spacing w:after="80" w:before="40"/>
        <w:jc w:val="left"/>
      </w:pPr>
      <w:r>
        <w:rPr>
          <w:rFonts w:ascii="Arial" w:cs="Arial" w:eastAsia="Arial" w:hAnsi="Arial"/>
          <w:b w:val="false"/>
          <w:bCs w:val="false"/>
          <w:i w:val="false"/>
          <w:iCs w:val="false"/>
          <w:color w:val="000000"/>
          <w:sz w:val="20"/>
          <w:szCs w:val="20"/>
        </w:rPr>
        <w:t xml:space="preserve">In most organisations, manufacturing engineering has lower status than design engineering. Designs that are difficult to manufacture transfer cost, quality risk, and time into production. The teams that win at scale treat manufacturability as a design constraint from day one, not an afterthought reviewed in a DFM checklist.</w:t>
      </w:r>
    </w:p>
    <w:p>
      <w:pPr>
        <w:spacing w:after="80" w:before="40"/>
        <w:jc w:val="left"/>
      </w:pPr>
      <w:r>
        <w:rPr>
          <w:rFonts w:ascii="Arial" w:cs="Arial" w:eastAsia="Arial" w:hAnsi="Arial"/>
          <w:b/>
          <w:bCs/>
          <w:i w:val="false"/>
          <w:iCs w:val="false"/>
          <w:color w:val="000000"/>
          <w:sz w:val="20"/>
          <w:szCs w:val="20"/>
        </w:rPr>
        <w:t xml:space="preserve">Practical application:</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D6E4F0"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Put your most experienced manufacturing engineers in design reviews from concept phase. Measure design outputs not just on performance specs but on production cycle time, defect risk, and tooling cost. Reward manufacturing innovation with the same recognition as product innovation.</w:t>
            </w:r>
          </w:p>
        </w:tc>
      </w:tr>
    </w:tbl>
    <w:p>
      <w:pPr>
        <w:spacing w:after="100" w:before="0"/>
      </w:pPr>
    </w:p>
    <w:p>
      <w:pPr>
        <w:pStyle w:val="Heading2"/>
        <w:spacing w:after="60" w:before="200"/>
      </w:pPr>
      <w:r>
        <w:rPr>
          <w:rFonts w:ascii="Arial" w:cs="Arial" w:eastAsia="Arial" w:hAnsi="Arial"/>
          <w:b/>
          <w:bCs/>
          <w:color w:val="1A2B3C"/>
          <w:sz w:val="22"/>
          <w:szCs w:val="22"/>
        </w:rPr>
        <w:t xml:space="preserve">Lesson 3: Vertical Integration — When to Own vs. Outsource the Critical Path</w:t>
      </w:r>
    </w:p>
    <w:p>
      <w:pPr>
        <w:spacing w:after="80" w:before="40"/>
        <w:jc w:val="left"/>
      </w:pPr>
      <w:r>
        <w:rPr>
          <w:rFonts w:ascii="Arial" w:cs="Arial" w:eastAsia="Arial" w:hAnsi="Arial"/>
          <w:b/>
          <w:bCs/>
          <w:i w:val="false"/>
          <w:iCs w:val="false"/>
          <w:color w:val="000000"/>
          <w:sz w:val="20"/>
          <w:szCs w:val="20"/>
        </w:rPr>
        <w:t xml:space="preserve">What happened:</w:t>
      </w:r>
    </w:p>
    <w:p>
      <w:pPr>
        <w:spacing w:after="80" w:before="40"/>
        <w:jc w:val="left"/>
      </w:pPr>
      <w:r>
        <w:rPr>
          <w:rFonts w:ascii="Arial" w:cs="Arial" w:eastAsia="Arial" w:hAnsi="Arial"/>
          <w:b w:val="false"/>
          <w:bCs w:val="false"/>
          <w:i w:val="false"/>
          <w:iCs w:val="false"/>
          <w:color w:val="000000"/>
          <w:sz w:val="20"/>
          <w:szCs w:val="20"/>
        </w:rPr>
        <w:t xml:space="preserve">Tesla owned batteries, software, motors, chips, and chargers. BYD added power semiconductors. Both made this decision for the same reason: the capability was on the critical path of competitive differentiation and could not be outsourced without surrendering control of the performance and cost curve.</w:t>
      </w:r>
    </w:p>
    <w:p>
      <w:pPr>
        <w:spacing w:after="80" w:before="40"/>
        <w:jc w:val="left"/>
      </w:pPr>
      <w:r>
        <w:rPr>
          <w:rFonts w:ascii="Arial" w:cs="Arial" w:eastAsia="Arial" w:hAnsi="Arial"/>
          <w:b/>
          <w:bCs/>
          <w:i w:val="false"/>
          <w:iCs w:val="false"/>
          <w:color w:val="000000"/>
          <w:sz w:val="20"/>
          <w:szCs w:val="20"/>
        </w:rPr>
        <w:t xml:space="preserve">What it means for an engineering manager:</w:t>
      </w:r>
    </w:p>
    <w:p>
      <w:pPr>
        <w:spacing w:after="80" w:before="40"/>
        <w:jc w:val="left"/>
      </w:pPr>
      <w:r>
        <w:rPr>
          <w:rFonts w:ascii="Arial" w:cs="Arial" w:eastAsia="Arial" w:hAnsi="Arial"/>
          <w:b w:val="false"/>
          <w:bCs w:val="false"/>
          <w:i w:val="false"/>
          <w:iCs w:val="false"/>
          <w:color w:val="000000"/>
          <w:sz w:val="20"/>
          <w:szCs w:val="20"/>
        </w:rPr>
        <w:t xml:space="preserve">The build-vs-buy decision is one of the most consequential an engineering team makes, and it is often made badly — by defaulting to outsourcing because it is faster now, without modelling what it costs over a five-year horizon in supplier dependence, margin leakage, and development velocity.</w:t>
      </w:r>
    </w:p>
    <w:p>
      <w:pPr>
        <w:spacing w:after="80" w:before="40"/>
        <w:jc w:val="left"/>
      </w:pPr>
      <w:r>
        <w:rPr>
          <w:rFonts w:ascii="Arial" w:cs="Arial" w:eastAsia="Arial" w:hAnsi="Arial"/>
          <w:b/>
          <w:bCs/>
          <w:i w:val="false"/>
          <w:iCs w:val="false"/>
          <w:color w:val="000000"/>
          <w:sz w:val="20"/>
          <w:szCs w:val="20"/>
        </w:rPr>
        <w:t xml:space="preserve">Practical application:</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D6E4F0"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Map your product's value chain and mark each element: does owning this give us a compounding advantage, or is it commoditised? Own the compounding nodes. Partner or outsource the rest. Review this map annually — what was commodity two years ago may now be strategic.</w:t>
            </w:r>
          </w:p>
        </w:tc>
      </w:tr>
    </w:tbl>
    <w:p>
      <w:pPr>
        <w:spacing w:after="100" w:before="0"/>
      </w:pPr>
    </w:p>
    <w:p>
      <w:pPr>
        <w:pStyle w:val="Heading2"/>
        <w:spacing w:after="60" w:before="200"/>
      </w:pPr>
      <w:r>
        <w:rPr>
          <w:rFonts w:ascii="Arial" w:cs="Arial" w:eastAsia="Arial" w:hAnsi="Arial"/>
          <w:b/>
          <w:bCs/>
          <w:color w:val="1A2B3C"/>
          <w:sz w:val="22"/>
          <w:szCs w:val="22"/>
        </w:rPr>
        <w:t xml:space="preserve">Lesson 4: Software-Defined Products — Engineering for Continuous Delivery Post-Shipment</w:t>
      </w:r>
    </w:p>
    <w:p>
      <w:pPr>
        <w:spacing w:after="80" w:before="40"/>
        <w:jc w:val="left"/>
      </w:pPr>
      <w:r>
        <w:rPr>
          <w:rFonts w:ascii="Arial" w:cs="Arial" w:eastAsia="Arial" w:hAnsi="Arial"/>
          <w:b/>
          <w:bCs/>
          <w:i w:val="false"/>
          <w:iCs w:val="false"/>
          <w:color w:val="000000"/>
          <w:sz w:val="20"/>
          <w:szCs w:val="20"/>
        </w:rPr>
        <w:t xml:space="preserve">What happened:</w:t>
      </w:r>
    </w:p>
    <w:p>
      <w:pPr>
        <w:spacing w:after="80" w:before="40"/>
        <w:jc w:val="left"/>
      </w:pPr>
      <w:r>
        <w:rPr>
          <w:rFonts w:ascii="Arial" w:cs="Arial" w:eastAsia="Arial" w:hAnsi="Arial"/>
          <w:b w:val="false"/>
          <w:bCs w:val="false"/>
          <w:i w:val="false"/>
          <w:iCs w:val="false"/>
          <w:color w:val="000000"/>
          <w:sz w:val="20"/>
          <w:szCs w:val="20"/>
        </w:rPr>
        <w:t xml:space="preserve">Tesla shipped hardware with substantial computational headroom and treated software as the primary product delivery vehicle post-sale. Fleet learning created a self-improving AI system. Chinese competitors — particularly Xpeng, NIO, and Huawei-backed Aito — built equivalent or superior software platforms at lower hardware cost.</w:t>
      </w:r>
    </w:p>
    <w:p>
      <w:pPr>
        <w:spacing w:after="80" w:before="40"/>
        <w:jc w:val="left"/>
      </w:pPr>
      <w:r>
        <w:rPr>
          <w:rFonts w:ascii="Arial" w:cs="Arial" w:eastAsia="Arial" w:hAnsi="Arial"/>
          <w:b/>
          <w:bCs/>
          <w:i w:val="false"/>
          <w:iCs w:val="false"/>
          <w:color w:val="000000"/>
          <w:sz w:val="20"/>
          <w:szCs w:val="20"/>
        </w:rPr>
        <w:t xml:space="preserve">What it means for an engineering manager:</w:t>
      </w:r>
    </w:p>
    <w:p>
      <w:pPr>
        <w:spacing w:after="80" w:before="40"/>
        <w:jc w:val="left"/>
      </w:pPr>
      <w:r>
        <w:rPr>
          <w:rFonts w:ascii="Arial" w:cs="Arial" w:eastAsia="Arial" w:hAnsi="Arial"/>
          <w:b w:val="false"/>
          <w:bCs w:val="false"/>
          <w:i w:val="false"/>
          <w:iCs w:val="false"/>
          <w:color w:val="000000"/>
          <w:sz w:val="20"/>
          <w:szCs w:val="20"/>
        </w:rPr>
        <w:t xml:space="preserve">If your product ships to a customer and then stops improving, you are competing on a fixed capability baseline. Software-defined products improve over their lifetime. This requires engineering decisions that are invisible to the customer at launch: sufficient compute, modular software architecture, OTA delivery infrastructure, and telemetry systems that make the deployed fleet a feedback instrument.</w:t>
      </w:r>
    </w:p>
    <w:p>
      <w:pPr>
        <w:spacing w:after="80" w:before="40"/>
        <w:jc w:val="left"/>
      </w:pPr>
      <w:r>
        <w:rPr>
          <w:rFonts w:ascii="Arial" w:cs="Arial" w:eastAsia="Arial" w:hAnsi="Arial"/>
          <w:b/>
          <w:bCs/>
          <w:i w:val="false"/>
          <w:iCs w:val="false"/>
          <w:color w:val="000000"/>
          <w:sz w:val="20"/>
          <w:szCs w:val="20"/>
        </w:rPr>
        <w:t xml:space="preserve">Practical application:</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D6E4F0"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In your next product definition, ask: what will this product's software be doing in three years that it cannot do today? Work backward to the hardware and architecture decisions you need to make now. Build the telemetry pipeline before you launch — data you do not collect in the first year is permanently lost.</w:t>
            </w:r>
          </w:p>
        </w:tc>
      </w:tr>
    </w:tbl>
    <w:p>
      <w:pPr>
        <w:spacing w:after="100" w:before="0"/>
      </w:pPr>
    </w:p>
    <w:p>
      <w:pPr>
        <w:pStyle w:val="Heading2"/>
        <w:spacing w:after="60" w:before="200"/>
      </w:pPr>
      <w:r>
        <w:rPr>
          <w:rFonts w:ascii="Arial" w:cs="Arial" w:eastAsia="Arial" w:hAnsi="Arial"/>
          <w:b/>
          <w:bCs/>
          <w:color w:val="1A2B3C"/>
          <w:sz w:val="22"/>
          <w:szCs w:val="22"/>
        </w:rPr>
        <w:t xml:space="preserve">Lesson 5: Speed of Iteration — Compressing the Design-Build-Test Cycle</w:t>
      </w:r>
    </w:p>
    <w:p>
      <w:pPr>
        <w:spacing w:after="80" w:before="40"/>
        <w:jc w:val="left"/>
      </w:pPr>
      <w:r>
        <w:rPr>
          <w:rFonts w:ascii="Arial" w:cs="Arial" w:eastAsia="Arial" w:hAnsi="Arial"/>
          <w:b/>
          <w:bCs/>
          <w:i w:val="false"/>
          <w:iCs w:val="false"/>
          <w:color w:val="000000"/>
          <w:sz w:val="20"/>
          <w:szCs w:val="20"/>
        </w:rPr>
        <w:t xml:space="preserve">What happened:</w:t>
      </w:r>
    </w:p>
    <w:p>
      <w:pPr>
        <w:spacing w:after="80" w:before="40"/>
        <w:jc w:val="left"/>
      </w:pPr>
      <w:r>
        <w:rPr>
          <w:rFonts w:ascii="Arial" w:cs="Arial" w:eastAsia="Arial" w:hAnsi="Arial"/>
          <w:b w:val="false"/>
          <w:bCs w:val="false"/>
          <w:i w:val="false"/>
          <w:iCs w:val="false"/>
          <w:color w:val="000000"/>
          <w:sz w:val="20"/>
          <w:szCs w:val="20"/>
        </w:rPr>
        <w:t xml:space="preserve">Tesla's development cycles were faster than traditional OEMs by design. Giga Shanghai went from groundbreaking to first vehicle deliveries in approximately eleven months (January–December 2019) — a timeline previously considered impossible for a greenfield automotive assembly plant.</w:t>
      </w:r>
    </w:p>
    <w:p>
      <w:pPr>
        <w:spacing w:after="80" w:before="40"/>
        <w:jc w:val="left"/>
      </w:pPr>
      <w:r>
        <w:rPr>
          <w:rFonts w:ascii="Arial" w:cs="Arial" w:eastAsia="Arial" w:hAnsi="Arial"/>
          <w:b/>
          <w:bCs/>
          <w:i w:val="false"/>
          <w:iCs w:val="false"/>
          <w:color w:val="000000"/>
          <w:sz w:val="20"/>
          <w:szCs w:val="20"/>
        </w:rPr>
        <w:t xml:space="preserve">What it means for an engineering manager:</w:t>
      </w:r>
    </w:p>
    <w:p>
      <w:pPr>
        <w:spacing w:after="80" w:before="40"/>
        <w:jc w:val="left"/>
      </w:pPr>
      <w:r>
        <w:rPr>
          <w:rFonts w:ascii="Arial" w:cs="Arial" w:eastAsia="Arial" w:hAnsi="Arial"/>
          <w:b w:val="false"/>
          <w:bCs w:val="false"/>
          <w:i w:val="false"/>
          <w:iCs w:val="false"/>
          <w:color w:val="000000"/>
          <w:sz w:val="20"/>
          <w:szCs w:val="20"/>
        </w:rPr>
        <w:t xml:space="preserve">Development cycle time is a strategic variable, not a project management outcome. The teams that iterate faster accumulate more learning per year. In fast-moving technical domains, three iteration cycles per year beats one.</w:t>
      </w:r>
    </w:p>
    <w:p>
      <w:pPr>
        <w:spacing w:after="80" w:before="40"/>
        <w:jc w:val="left"/>
      </w:pPr>
      <w:r>
        <w:rPr>
          <w:rFonts w:ascii="Arial" w:cs="Arial" w:eastAsia="Arial" w:hAnsi="Arial"/>
          <w:b/>
          <w:bCs/>
          <w:i w:val="false"/>
          <w:iCs w:val="false"/>
          <w:color w:val="000000"/>
          <w:sz w:val="20"/>
          <w:szCs w:val="20"/>
        </w:rPr>
        <w:t xml:space="preserve">Practical application:</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D6E4F0"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Identify the longest feedback loop in your current development process. That is your bottleneck. Invest specifically in shortening it — reduce batch size between tests, move tests earlier in the development sequence, or co-locate teams that currently hand off across distance or organisational boundary.</w:t>
            </w:r>
          </w:p>
        </w:tc>
      </w:tr>
    </w:tbl>
    <w:p>
      <w:pPr>
        <w:spacing w:after="100" w:before="0"/>
      </w:pPr>
    </w:p>
    <w:p>
      <w:pPr>
        <w:pStyle w:val="Heading2"/>
        <w:spacing w:after="60" w:before="200"/>
      </w:pPr>
      <w:r>
        <w:rPr>
          <w:rFonts w:ascii="Arial" w:cs="Arial" w:eastAsia="Arial" w:hAnsi="Arial"/>
          <w:b/>
          <w:bCs/>
          <w:color w:val="1A2B3C"/>
          <w:sz w:val="22"/>
          <w:szCs w:val="22"/>
        </w:rPr>
        <w:t xml:space="preserve">Lesson 6: Supply Chain as Competitive Moat — Controlling What Matters</w:t>
      </w:r>
    </w:p>
    <w:p>
      <w:pPr>
        <w:spacing w:after="80" w:before="40"/>
        <w:jc w:val="left"/>
      </w:pPr>
      <w:r>
        <w:rPr>
          <w:rFonts w:ascii="Arial" w:cs="Arial" w:eastAsia="Arial" w:hAnsi="Arial"/>
          <w:b/>
          <w:bCs/>
          <w:i w:val="false"/>
          <w:iCs w:val="false"/>
          <w:color w:val="000000"/>
          <w:sz w:val="20"/>
          <w:szCs w:val="20"/>
        </w:rPr>
        <w:t xml:space="preserve">What happened:</w:t>
      </w:r>
    </w:p>
    <w:p>
      <w:pPr>
        <w:spacing w:after="80" w:before="40"/>
        <w:jc w:val="left"/>
      </w:pPr>
      <w:r>
        <w:rPr>
          <w:rFonts w:ascii="Arial" w:cs="Arial" w:eastAsia="Arial" w:hAnsi="Arial"/>
          <w:b w:val="false"/>
          <w:bCs w:val="false"/>
          <w:i w:val="false"/>
          <w:iCs w:val="false"/>
          <w:color w:val="000000"/>
          <w:sz w:val="20"/>
          <w:szCs w:val="20"/>
        </w:rPr>
        <w:t xml:space="preserve">China's dominance in EV supply chain is the result of twenty years of deliberate investment in lithium processing, cathode material production, battery manufacturing. CATL's 40% global market share emerged from scale, supply chain integration, and policy-backed investment that created a cost structure no competitor can easily replicate.</w:t>
      </w:r>
    </w:p>
    <w:p>
      <w:pPr>
        <w:spacing w:after="80" w:before="40"/>
        <w:jc w:val="left"/>
      </w:pPr>
      <w:r>
        <w:rPr>
          <w:rFonts w:ascii="Arial" w:cs="Arial" w:eastAsia="Arial" w:hAnsi="Arial"/>
          <w:b/>
          <w:bCs/>
          <w:i w:val="false"/>
          <w:iCs w:val="false"/>
          <w:color w:val="000000"/>
          <w:sz w:val="20"/>
          <w:szCs w:val="20"/>
        </w:rPr>
        <w:t xml:space="preserve">What it means for an engineering manager:</w:t>
      </w:r>
    </w:p>
    <w:p>
      <w:pPr>
        <w:spacing w:after="80" w:before="40"/>
        <w:jc w:val="left"/>
      </w:pPr>
      <w:r>
        <w:rPr>
          <w:rFonts w:ascii="Arial" w:cs="Arial" w:eastAsia="Arial" w:hAnsi="Arial"/>
          <w:b w:val="false"/>
          <w:bCs w:val="false"/>
          <w:i w:val="false"/>
          <w:iCs w:val="false"/>
          <w:color w:val="000000"/>
          <w:sz w:val="20"/>
          <w:szCs w:val="20"/>
        </w:rPr>
        <w:t xml:space="preserve">The supply chain for critical components is a competitive asset, not a procurement function. In industries where a key material, component, or process is on the critical path to performance or cost, understanding who controls that supply chain is essential engineering intelligence.</w:t>
      </w:r>
    </w:p>
    <w:p>
      <w:pPr>
        <w:spacing w:after="80" w:before="40"/>
        <w:jc w:val="left"/>
      </w:pPr>
      <w:r>
        <w:rPr>
          <w:rFonts w:ascii="Arial" w:cs="Arial" w:eastAsia="Arial" w:hAnsi="Arial"/>
          <w:b/>
          <w:bCs/>
          <w:i w:val="false"/>
          <w:iCs w:val="false"/>
          <w:color w:val="000000"/>
          <w:sz w:val="20"/>
          <w:szCs w:val="20"/>
        </w:rPr>
        <w:t xml:space="preserve">Practical application:</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D6E4F0"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For any project, identify the two or three components or materials that are both critical to performance and subject to supply concentration risk. Map those supply chains. Model the scenario where your primary supplier restricts access or raises prices 30%. What are your options? Do that modelling before you are in that scenario.</w:t>
            </w:r>
          </w:p>
        </w:tc>
      </w:tr>
    </w:tbl>
    <w:p>
      <w:pPr>
        <w:spacing w:after="100" w:before="0"/>
      </w:pPr>
    </w:p>
    <w:p>
      <w:pPr>
        <w:pStyle w:val="Heading2"/>
        <w:spacing w:after="60" w:before="200"/>
      </w:pPr>
      <w:r>
        <w:rPr>
          <w:rFonts w:ascii="Arial" w:cs="Arial" w:eastAsia="Arial" w:hAnsi="Arial"/>
          <w:b/>
          <w:bCs/>
          <w:color w:val="1A2B3C"/>
          <w:sz w:val="22"/>
          <w:szCs w:val="22"/>
        </w:rPr>
        <w:t xml:space="preserve">Lesson 7: Production as a Discipline — What Production Hell Teaches About Scaling</w:t>
      </w:r>
    </w:p>
    <w:p>
      <w:pPr>
        <w:spacing w:after="80" w:before="40"/>
        <w:jc w:val="left"/>
      </w:pPr>
      <w:r>
        <w:rPr>
          <w:rFonts w:ascii="Arial" w:cs="Arial" w:eastAsia="Arial" w:hAnsi="Arial"/>
          <w:b/>
          <w:bCs/>
          <w:i w:val="false"/>
          <w:iCs w:val="false"/>
          <w:color w:val="000000"/>
          <w:sz w:val="20"/>
          <w:szCs w:val="20"/>
        </w:rPr>
        <w:t xml:space="preserve">What happened:</w:t>
      </w:r>
    </w:p>
    <w:p>
      <w:pPr>
        <w:spacing w:after="80" w:before="40"/>
        <w:jc w:val="left"/>
      </w:pPr>
      <w:r>
        <w:rPr>
          <w:rFonts w:ascii="Arial" w:cs="Arial" w:eastAsia="Arial" w:hAnsi="Arial"/>
          <w:b w:val="false"/>
          <w:bCs w:val="false"/>
          <w:i w:val="false"/>
          <w:iCs w:val="false"/>
          <w:color w:val="000000"/>
          <w:sz w:val="20"/>
          <w:szCs w:val="20"/>
        </w:rPr>
        <w:t xml:space="preserve">Tesla's Model 3 ramp was catastrophic before it was triumphant. The lessons embedded — about the limits of automation, the importance of operator knowledge, the difference between demonstrating a process works and proving it works at 5,000 units per week — became institutional knowledge that gave Tesla every subsequent factory ramp.</w:t>
      </w:r>
    </w:p>
    <w:p>
      <w:pPr>
        <w:spacing w:after="80" w:before="40"/>
        <w:jc w:val="left"/>
      </w:pPr>
      <w:r>
        <w:rPr>
          <w:rFonts w:ascii="Arial" w:cs="Arial" w:eastAsia="Arial" w:hAnsi="Arial"/>
          <w:b/>
          <w:bCs/>
          <w:i w:val="false"/>
          <w:iCs w:val="false"/>
          <w:color w:val="000000"/>
          <w:sz w:val="20"/>
          <w:szCs w:val="20"/>
        </w:rPr>
        <w:t xml:space="preserve">What it means for an engineering manager:</w:t>
      </w:r>
    </w:p>
    <w:p>
      <w:pPr>
        <w:spacing w:after="80" w:before="40"/>
        <w:jc w:val="left"/>
      </w:pPr>
      <w:r>
        <w:rPr>
          <w:rFonts w:ascii="Arial" w:cs="Arial" w:eastAsia="Arial" w:hAnsi="Arial"/>
          <w:b w:val="false"/>
          <w:bCs w:val="false"/>
          <w:i w:val="false"/>
          <w:iCs w:val="false"/>
          <w:color w:val="000000"/>
          <w:sz w:val="20"/>
          <w:szCs w:val="20"/>
        </w:rPr>
        <w:t xml:space="preserve">Every engineering team that has never shipped a product at scale systematically underestimates what scale does to their design. A process that works at 100 units may have hidden failure modes that only emerge at 10,000. Production knowledge is earned through production experience, not designed in on paper.</w:t>
      </w:r>
    </w:p>
    <w:p>
      <w:pPr>
        <w:spacing w:after="80" w:before="40"/>
        <w:jc w:val="left"/>
      </w:pPr>
      <w:r>
        <w:rPr>
          <w:rFonts w:ascii="Arial" w:cs="Arial" w:eastAsia="Arial" w:hAnsi="Arial"/>
          <w:b/>
          <w:bCs/>
          <w:i w:val="false"/>
          <w:iCs w:val="false"/>
          <w:color w:val="000000"/>
          <w:sz w:val="20"/>
          <w:szCs w:val="20"/>
        </w:rPr>
        <w:t xml:space="preserve">Practical application:</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D6E4F0"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If your team is approaching a scale-up, identify the three processes with the highest complexity or tightest tolerance and pilot them at twice the target rate before committing to full production. What breaks first is your production bottleneck — find it on a pilot line, not a live production ramp.</w:t>
            </w:r>
          </w:p>
        </w:tc>
      </w:tr>
    </w:tbl>
    <w:p>
      <w:pPr>
        <w:spacing w:after="100" w:before="0"/>
      </w:pPr>
    </w:p>
    <w:p>
      <w:pPr>
        <w:pStyle w:val="Heading2"/>
        <w:spacing w:after="60" w:before="200"/>
      </w:pPr>
      <w:r>
        <w:rPr>
          <w:rFonts w:ascii="Arial" w:cs="Arial" w:eastAsia="Arial" w:hAnsi="Arial"/>
          <w:b/>
          <w:bCs/>
          <w:color w:val="1A2B3C"/>
          <w:sz w:val="22"/>
          <w:szCs w:val="22"/>
        </w:rPr>
        <w:t xml:space="preserve">Lesson 8: Industrial Policy Awareness — Engineering Decisions Don't Exist Outside Geopolitical Context</w:t>
      </w:r>
    </w:p>
    <w:p>
      <w:pPr>
        <w:spacing w:after="80" w:before="40"/>
        <w:jc w:val="left"/>
      </w:pPr>
      <w:r>
        <w:rPr>
          <w:rFonts w:ascii="Arial" w:cs="Arial" w:eastAsia="Arial" w:hAnsi="Arial"/>
          <w:b/>
          <w:bCs/>
          <w:i w:val="false"/>
          <w:iCs w:val="false"/>
          <w:color w:val="000000"/>
          <w:sz w:val="20"/>
          <w:szCs w:val="20"/>
        </w:rPr>
        <w:t xml:space="preserve">What happened:</w:t>
      </w:r>
    </w:p>
    <w:p>
      <w:pPr>
        <w:spacing w:after="80" w:before="40"/>
        <w:jc w:val="left"/>
      </w:pPr>
      <w:r>
        <w:rPr>
          <w:rFonts w:ascii="Arial" w:cs="Arial" w:eastAsia="Arial" w:hAnsi="Arial"/>
          <w:b w:val="false"/>
          <w:bCs w:val="false"/>
          <w:i w:val="false"/>
          <w:iCs w:val="false"/>
          <w:color w:val="000000"/>
          <w:sz w:val="20"/>
          <w:szCs w:val="20"/>
        </w:rPr>
        <w:t xml:space="preserve">Chinese EV manufacturers operate in a policy environment providing subsidies, supply chain development, and protected domestic market access. China added cathode material preparation to its export control list in July 2025. These are not externalities to engineering strategy — they are constraints that determine which technical solutions are viable.</w:t>
      </w:r>
    </w:p>
    <w:p>
      <w:pPr>
        <w:spacing w:after="80" w:before="40"/>
        <w:jc w:val="left"/>
      </w:pPr>
      <w:r>
        <w:rPr>
          <w:rFonts w:ascii="Arial" w:cs="Arial" w:eastAsia="Arial" w:hAnsi="Arial"/>
          <w:b/>
          <w:bCs/>
          <w:i w:val="false"/>
          <w:iCs w:val="false"/>
          <w:color w:val="000000"/>
          <w:sz w:val="20"/>
          <w:szCs w:val="20"/>
        </w:rPr>
        <w:t xml:space="preserve">What it means for an engineering manager:</w:t>
      </w:r>
    </w:p>
    <w:p>
      <w:pPr>
        <w:spacing w:after="80" w:before="40"/>
        <w:jc w:val="left"/>
      </w:pPr>
      <w:r>
        <w:rPr>
          <w:rFonts w:ascii="Arial" w:cs="Arial" w:eastAsia="Arial" w:hAnsi="Arial"/>
          <w:b w:val="false"/>
          <w:bCs w:val="false"/>
          <w:i w:val="false"/>
          <w:iCs w:val="false"/>
          <w:color w:val="000000"/>
          <w:sz w:val="20"/>
          <w:szCs w:val="20"/>
        </w:rPr>
        <w:t xml:space="preserve">Engineering decisions — particularly on supply chain, manufacturing location, and technology choice — are increasingly shaped by government policy. An engineering manager who treats policy as someone else's department is making strategic decisions with incomplete information.</w:t>
      </w:r>
    </w:p>
    <w:p>
      <w:pPr>
        <w:spacing w:after="80" w:before="40"/>
        <w:jc w:val="left"/>
      </w:pPr>
      <w:r>
        <w:rPr>
          <w:rFonts w:ascii="Arial" w:cs="Arial" w:eastAsia="Arial" w:hAnsi="Arial"/>
          <w:b/>
          <w:bCs/>
          <w:i w:val="false"/>
          <w:iCs w:val="false"/>
          <w:color w:val="000000"/>
          <w:sz w:val="20"/>
          <w:szCs w:val="20"/>
        </w:rPr>
        <w:t xml:space="preserve">Practical application:</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D6E4F0"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For any significant capital investment or supply chain decision, include a policy environment assessment: what regulations currently apply, what are the plausible directions of regulatory change in the next five years, and what does your organisation need to do to comply with or take advantage of those changes.</w:t>
            </w:r>
          </w:p>
        </w:tc>
      </w:tr>
    </w:tbl>
    <w:p>
      <w:pPr>
        <w:spacing w:after="100" w:before="0"/>
      </w:pPr>
    </w:p>
    <w:p>
      <w:pPr>
        <w:pStyle w:val="Heading2"/>
        <w:spacing w:after="60" w:before="200"/>
      </w:pPr>
      <w:r>
        <w:rPr>
          <w:rFonts w:ascii="Arial" w:cs="Arial" w:eastAsia="Arial" w:hAnsi="Arial"/>
          <w:b/>
          <w:bCs/>
          <w:color w:val="1A2B3C"/>
          <w:sz w:val="22"/>
          <w:szCs w:val="22"/>
        </w:rPr>
        <w:t xml:space="preserve">Lesson 9: The Fast Follower Advantage — How China Studied, Adapted, and Improved Tesla's Model</w:t>
      </w:r>
    </w:p>
    <w:p>
      <w:pPr>
        <w:spacing w:after="80" w:before="40"/>
        <w:jc w:val="left"/>
      </w:pPr>
      <w:r>
        <w:rPr>
          <w:rFonts w:ascii="Arial" w:cs="Arial" w:eastAsia="Arial" w:hAnsi="Arial"/>
          <w:b/>
          <w:bCs/>
          <w:i w:val="false"/>
          <w:iCs w:val="false"/>
          <w:color w:val="000000"/>
          <w:sz w:val="20"/>
          <w:szCs w:val="20"/>
        </w:rPr>
        <w:t xml:space="preserve">What happened:</w:t>
      </w:r>
    </w:p>
    <w:p>
      <w:pPr>
        <w:spacing w:after="80" w:before="40"/>
        <w:jc w:val="left"/>
      </w:pPr>
      <w:r>
        <w:rPr>
          <w:rFonts w:ascii="Arial" w:cs="Arial" w:eastAsia="Arial" w:hAnsi="Arial"/>
          <w:b w:val="false"/>
          <w:bCs w:val="false"/>
          <w:i w:val="false"/>
          <w:iCs w:val="false"/>
          <w:color w:val="000000"/>
          <w:sz w:val="20"/>
          <w:szCs w:val="20"/>
        </w:rPr>
        <w:t xml:space="preserve">China's EV industry studied Tesla's architecture openly and deliberately. Vertical integration, software-defined vehicles, cell-to-pack integration, large-format die casting — all appeared in Chinese EV programmes within two to four years of Tesla's deployment. Critically, Chinese manufacturers did not copy: they adapted. BYD chose LFP where Tesla chose NMC; NIO chose swap where Tesla chose fast-charge.</w:t>
      </w:r>
    </w:p>
    <w:p>
      <w:pPr>
        <w:spacing w:after="80" w:before="40"/>
        <w:jc w:val="left"/>
      </w:pPr>
      <w:r>
        <w:rPr>
          <w:rFonts w:ascii="Arial" w:cs="Arial" w:eastAsia="Arial" w:hAnsi="Arial"/>
          <w:b/>
          <w:bCs/>
          <w:i w:val="false"/>
          <w:iCs w:val="false"/>
          <w:color w:val="000000"/>
          <w:sz w:val="20"/>
          <w:szCs w:val="20"/>
        </w:rPr>
        <w:t xml:space="preserve">What it means for an engineering manager:</w:t>
      </w:r>
    </w:p>
    <w:p>
      <w:pPr>
        <w:spacing w:after="80" w:before="40"/>
        <w:jc w:val="left"/>
      </w:pPr>
      <w:r>
        <w:rPr>
          <w:rFonts w:ascii="Arial" w:cs="Arial" w:eastAsia="Arial" w:hAnsi="Arial"/>
          <w:b w:val="false"/>
          <w:bCs w:val="false"/>
          <w:i w:val="false"/>
          <w:iCs w:val="false"/>
          <w:color w:val="000000"/>
          <w:sz w:val="20"/>
          <w:szCs w:val="20"/>
        </w:rPr>
        <w:t xml:space="preserve">Being second in a market is not a permanent disadvantage. The fast follower who studies the pioneer's architecture, understands why each decision was made, and applies it with adaptations suited to a different context can achieve the pioneer's performance at lower cost, faster. This cuts both ways: assume your competitors are studying you with exactly this discipline.</w:t>
      </w:r>
    </w:p>
    <w:p>
      <w:pPr>
        <w:spacing w:after="80" w:before="40"/>
        <w:jc w:val="left"/>
      </w:pPr>
      <w:r>
        <w:rPr>
          <w:rFonts w:ascii="Arial" w:cs="Arial" w:eastAsia="Arial" w:hAnsi="Arial"/>
          <w:b/>
          <w:bCs/>
          <w:i w:val="false"/>
          <w:iCs w:val="false"/>
          <w:color w:val="000000"/>
          <w:sz w:val="20"/>
          <w:szCs w:val="20"/>
        </w:rPr>
        <w:t xml:space="preserve">Practical application:</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D6E4F0"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Maintain a structured competitor engineering intelligence function — not marketing intelligence, engineering intelligence. When a competitor ships a product, reverse-engineer the key technical decisions: what architecture did they choose, why, and what does it tell you about where they are heading? The teardown is an engineering discipline.</w:t>
            </w:r>
          </w:p>
        </w:tc>
      </w:tr>
    </w:tbl>
    <w:p>
      <w:pPr>
        <w:spacing w:after="100" w:before="0"/>
      </w:pPr>
    </w:p>
    <w:p>
      <w:pPr>
        <w:pStyle w:val="Heading2"/>
        <w:spacing w:after="60" w:before="200"/>
      </w:pPr>
      <w:r>
        <w:rPr>
          <w:rFonts w:ascii="Arial" w:cs="Arial" w:eastAsia="Arial" w:hAnsi="Arial"/>
          <w:b/>
          <w:bCs/>
          <w:color w:val="1A2B3C"/>
          <w:sz w:val="22"/>
          <w:szCs w:val="22"/>
        </w:rPr>
        <w:t xml:space="preserve">Lesson 10: The Lesson of the Disrupted Disruptor — What Tesla Must Now Learn From China</w:t>
      </w:r>
    </w:p>
    <w:p>
      <w:pPr>
        <w:spacing w:after="80" w:before="40"/>
        <w:jc w:val="left"/>
      </w:pPr>
      <w:r>
        <w:rPr>
          <w:rFonts w:ascii="Arial" w:cs="Arial" w:eastAsia="Arial" w:hAnsi="Arial"/>
          <w:b/>
          <w:bCs/>
          <w:i w:val="false"/>
          <w:iCs w:val="false"/>
          <w:color w:val="000000"/>
          <w:sz w:val="20"/>
          <w:szCs w:val="20"/>
        </w:rPr>
        <w:t xml:space="preserve">What happened:</w:t>
      </w:r>
    </w:p>
    <w:p>
      <w:pPr>
        <w:spacing w:after="80" w:before="40"/>
        <w:jc w:val="left"/>
      </w:pPr>
      <w:r>
        <w:rPr>
          <w:rFonts w:ascii="Arial" w:cs="Arial" w:eastAsia="Arial" w:hAnsi="Arial"/>
          <w:b w:val="false"/>
          <w:bCs w:val="false"/>
          <w:i w:val="false"/>
          <w:iCs w:val="false"/>
          <w:color w:val="000000"/>
          <w:sz w:val="20"/>
          <w:szCs w:val="20"/>
        </w:rPr>
        <w:t xml:space="preserve">Tesla disrupted the automotive industry by applying Silicon Valley engineering philosophy to a hardware industry that had optimised for incremental improvement. In doing so, Tesla created a playbook. China read it, executed it with state-level resource backing, extended it, and undercut Tesla on cost. In 2025, Tesla's deliveries fell ~10% while BYD's rose 28%. The disruptor had become the incumbent.</w:t>
      </w:r>
    </w:p>
    <w:p>
      <w:pPr>
        <w:spacing w:after="80" w:before="40"/>
        <w:jc w:val="left"/>
      </w:pPr>
      <w:r>
        <w:rPr>
          <w:rFonts w:ascii="Arial" w:cs="Arial" w:eastAsia="Arial" w:hAnsi="Arial"/>
          <w:b/>
          <w:bCs/>
          <w:i w:val="false"/>
          <w:iCs w:val="false"/>
          <w:color w:val="000000"/>
          <w:sz w:val="20"/>
          <w:szCs w:val="20"/>
        </w:rPr>
        <w:t xml:space="preserve">What it means for an engineering manager:</w:t>
      </w:r>
    </w:p>
    <w:p>
      <w:pPr>
        <w:spacing w:after="80" w:before="40"/>
        <w:jc w:val="left"/>
      </w:pPr>
      <w:r>
        <w:rPr>
          <w:rFonts w:ascii="Arial" w:cs="Arial" w:eastAsia="Arial" w:hAnsi="Arial"/>
          <w:b w:val="false"/>
          <w:bCs w:val="false"/>
          <w:i w:val="false"/>
          <w:iCs w:val="false"/>
          <w:color w:val="000000"/>
          <w:sz w:val="20"/>
          <w:szCs w:val="20"/>
        </w:rPr>
        <w:t xml:space="preserve">Competitive advantage is temporary. The engineering philosophy that wins at one stage of market development is not guaranteed to win at the next. Tesla's response — robotaxi, humanoid robotics, energy storage — is an attempt to move to a different competitive frontier before the EV frontier closes. Whether it succeeds is an open question, but the attempt reflects the correct instinct.</w:t>
      </w:r>
    </w:p>
    <w:p>
      <w:pPr>
        <w:spacing w:after="80" w:before="40"/>
        <w:jc w:val="left"/>
      </w:pPr>
      <w:r>
        <w:rPr>
          <w:rFonts w:ascii="Arial" w:cs="Arial" w:eastAsia="Arial" w:hAnsi="Arial"/>
          <w:b/>
          <w:bCs/>
          <w:i w:val="false"/>
          <w:iCs w:val="false"/>
          <w:color w:val="000000"/>
          <w:sz w:val="20"/>
          <w:szCs w:val="20"/>
        </w:rPr>
        <w:t xml:space="preserve">Practical application:</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D6E4F0"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At least once per year, ask your engineering team: if a well-funded competitor started from scratch today, knowing everything we know, what would they do differently? The gap between that answer and what you are doing is your disruption exposure. Narrow it deliberately.</w:t>
            </w:r>
          </w:p>
        </w:tc>
      </w:tr>
    </w:tbl>
    <w:p>
      <w:pPr>
        <w:spacing w:after="100" w:before="0"/>
      </w:pPr>
    </w:p>
    <w:p>
      <w:r>
        <w:br w:type="page"/>
      </w:r>
    </w:p>
    <w:p>
      <w:pPr>
        <w:pStyle w:val="Heading1"/>
        <w:pBdr>
          <w:bottom w:val="single" w:color="1F497D" w:sz="6" w:space="4"/>
        </w:pBdr>
        <w:spacing w:after="80" w:before="280"/>
      </w:pPr>
      <w:r>
        <w:rPr>
          <w:rFonts w:ascii="Arial" w:cs="Arial" w:eastAsia="Arial" w:hAnsi="Arial"/>
          <w:b/>
          <w:bCs/>
          <w:color w:val="1F497D"/>
          <w:sz w:val="26"/>
          <w:szCs w:val="26"/>
        </w:rPr>
        <w:t xml:space="preserve">PART 4 — MILESTONE TIMELINE: TESLA AND CHINESE EVS IN PARALLEL (2008–2026)</w:t>
      </w:r>
    </w:p>
    <w:p>
      <w:pPr>
        <w:spacing w:after="120" w:before="40"/>
        <w:jc w:val="left"/>
      </w:pPr>
      <w:r>
        <w:rPr>
          <w:rFonts w:ascii="Arial" w:cs="Arial" w:eastAsia="Arial" w:hAnsi="Arial"/>
          <w:b w:val="false"/>
          <w:bCs w:val="false"/>
          <w:i w:val="false"/>
          <w:iCs w:val="false"/>
          <w:color w:val="595959"/>
          <w:sz w:val="18"/>
          <w:szCs w:val="18"/>
        </w:rPr>
        <w:t xml:space="preserve">Key events in both stories, shown concurrently. Data points are sourced and timestamped; cells marked [estimate] indicate Felix's synthesis where direct source data was unavailable at precision.</w:t>
      </w:r>
    </w:p>
    <w:tbl>
      <w:tblPr>
        <w:tblW w:type="dxa" w:w="10659"/>
        <w:tblBorders>
          <w:top w:val="single" w:color="D9D9D9" w:sz="4"/>
          <w:left w:val="single" w:color="D9D9D9" w:sz="4"/>
          <w:bottom w:val="single" w:color="D9D9D9" w:sz="4"/>
          <w:right w:val="single" w:color="D9D9D9" w:sz="4"/>
          <w:insideH w:val="single" w:color="auto" w:sz="4"/>
          <w:insideV w:val="single" w:color="auto" w:sz="4"/>
        </w:tblBorders>
        <w:tblLayout w:type="fixed"/>
      </w:tblPr>
      <w:tblGrid>
        <w:gridCol w:w="1247"/>
        <w:gridCol w:w="4763"/>
        <w:gridCol w:w="4649"/>
      </w:tblGrid>
      <w:tr>
        <w:trPr>
          <w:tblHeader/>
        </w:trPr>
        <w:tc>
          <w:tcPr>
            <w:tcW w:type="dxa" w:w="1247"/>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Year</w:t>
            </w:r>
          </w:p>
        </w:tc>
        <w:tc>
          <w:tcPr>
            <w:tcW w:type="dxa" w:w="4763"/>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Tesla / Western EV Industry</w:t>
            </w:r>
          </w:p>
        </w:tc>
        <w:tc>
          <w:tcPr>
            <w:tcW w:type="dxa" w:w="4649"/>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Chinese EV Industry</w:t>
            </w:r>
          </w:p>
        </w:tc>
      </w:tr>
      <w:tr>
        <w:tc>
          <w:tcPr>
            <w:tcW w:type="dxa" w:w="1247"/>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2008</w:t>
            </w:r>
          </w:p>
        </w:tc>
        <w:tc>
          <w:tcPr>
            <w:tcW w:type="dxa" w:w="4763"/>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Tesla Roadster deliveries begin. First performance EV proves concept viable.</w:t>
            </w:r>
          </w:p>
        </w:tc>
        <w:tc>
          <w:tcPr>
            <w:tcW w:type="dxa" w:w="464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launches F3DM, first mass-market PHEV in China.</w:t>
            </w:r>
          </w:p>
        </w:tc>
      </w:tr>
      <w:tr>
        <w:tc>
          <w:tcPr>
            <w:tcW w:type="dxa" w:w="1247"/>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2009</w:t>
            </w:r>
          </w:p>
        </w:tc>
        <w:tc>
          <w:tcPr>
            <w:tcW w:type="dxa" w:w="4763"/>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w:t>
            </w:r>
          </w:p>
        </w:tc>
        <w:tc>
          <w:tcPr>
            <w:tcW w:type="dxa" w:w="464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China launches "Ten Cities, Thousand Vehicles" EV subsidy programme.</w:t>
            </w:r>
          </w:p>
        </w:tc>
      </w:tr>
      <w:tr>
        <w:tc>
          <w:tcPr>
            <w:tcW w:type="dxa" w:w="1247"/>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2012</w:t>
            </w:r>
          </w:p>
        </w:tc>
        <w:tc>
          <w:tcPr>
            <w:tcW w:type="dxa" w:w="4763"/>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Model S launches. 426 km EPA range. OTA updates. Supercharger network begins.</w:t>
            </w:r>
          </w:p>
        </w:tc>
        <w:tc>
          <w:tcPr>
            <w:tcW w:type="dxa" w:w="464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BAIC, SAIC begin state-backed EV development programmes.</w:t>
            </w:r>
          </w:p>
        </w:tc>
      </w:tr>
      <w:tr>
        <w:tc>
          <w:tcPr>
            <w:tcW w:type="dxa" w:w="1247"/>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2014</w:t>
            </w:r>
          </w:p>
        </w:tc>
        <w:tc>
          <w:tcPr>
            <w:tcW w:type="dxa" w:w="4763"/>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Gigafactory Nevada announced. Tesla releases all patents open-source.</w:t>
            </w:r>
          </w:p>
        </w:tc>
        <w:tc>
          <w:tcPr>
            <w:tcW w:type="dxa" w:w="464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CATL founded as independent company (spun out of ATL, Ningde).</w:t>
            </w:r>
          </w:p>
        </w:tc>
      </w:tr>
      <w:tr>
        <w:tc>
          <w:tcPr>
            <w:tcW w:type="dxa" w:w="1247"/>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2015</w:t>
            </w:r>
          </w:p>
        </w:tc>
        <w:tc>
          <w:tcPr>
            <w:tcW w:type="dxa" w:w="4763"/>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Model X launches. Autopilot Hardware 1.0 deployed fleet-wide.</w:t>
            </w:r>
          </w:p>
        </w:tc>
        <w:tc>
          <w:tcPr>
            <w:tcW w:type="dxa" w:w="464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Made in China 2025 strategy announced. EV subsidies expanded.</w:t>
            </w:r>
          </w:p>
        </w:tc>
      </w:tr>
      <w:tr>
        <w:tc>
          <w:tcPr>
            <w:tcW w:type="dxa" w:w="1247"/>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2016</w:t>
            </w:r>
          </w:p>
        </w:tc>
        <w:tc>
          <w:tcPr>
            <w:tcW w:type="dxa" w:w="4763"/>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Gigafactory Nevada opens (partial). Model 3 unveiled — 400,000+ reservations.</w:t>
            </w:r>
          </w:p>
        </w:tc>
        <w:tc>
          <w:tcPr>
            <w:tcW w:type="dxa" w:w="464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CATL begins supplying BMW. China becomes world's largest EV market.</w:t>
            </w:r>
          </w:p>
        </w:tc>
      </w:tr>
      <w:tr>
        <w:tc>
          <w:tcPr>
            <w:tcW w:type="dxa" w:w="1247"/>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2017</w:t>
            </w:r>
          </w:p>
        </w:tc>
        <w:tc>
          <w:tcPr>
            <w:tcW w:type="dxa" w:w="4763"/>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2170 cell (Model 3). Production begins — extremely limited.</w:t>
            </w:r>
          </w:p>
        </w:tc>
        <w:tc>
          <w:tcPr>
            <w:tcW w:type="dxa" w:w="464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exceeds 100,000 NEV sales in a single year. NIO delivers first vehicles.</w:t>
            </w:r>
          </w:p>
        </w:tc>
      </w:tr>
      <w:tr>
        <w:tc>
          <w:tcPr>
            <w:tcW w:type="dxa" w:w="1247"/>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2018</w:t>
            </w:r>
          </w:p>
        </w:tc>
        <w:tc>
          <w:tcPr>
            <w:tcW w:type="dxa" w:w="4763"/>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"Production Hell." Model 3 reaches 5,000/week in June — eleven months late. Tent factory at Fremont. "Humans are underrated." — Musk</w:t>
            </w:r>
          </w:p>
        </w:tc>
        <w:tc>
          <w:tcPr>
            <w:tcW w:type="dxa" w:w="464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CATL IPO on Shenzhen exchange, raises ~$798M USD.</w:t>
            </w:r>
          </w:p>
        </w:tc>
      </w:tr>
      <w:tr>
        <w:tc>
          <w:tcPr>
            <w:tcW w:type="dxa" w:w="1247"/>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2019</w:t>
            </w:r>
          </w:p>
        </w:tc>
        <w:tc>
          <w:tcPr>
            <w:tcW w:type="dxa" w:w="4763"/>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Giga Shanghai groundbreaking January, first deliveries December. Model Y unveiled.</w:t>
            </w:r>
          </w:p>
        </w:tc>
        <w:tc>
          <w:tcPr>
            <w:tcW w:type="dxa" w:w="464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China begins phasing out consumer EV subsidies. CATL surpasses Panasonic as world's largest battery maker.</w:t>
            </w:r>
          </w:p>
        </w:tc>
      </w:tr>
      <w:tr>
        <w:tc>
          <w:tcPr>
            <w:tcW w:type="dxa" w:w="1247"/>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2020</w:t>
            </w:r>
          </w:p>
        </w:tc>
        <w:tc>
          <w:tcPr>
            <w:tcW w:type="dxa" w:w="4763"/>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Battery Day: 4680 cell, structural pack, Giga Press all announced. Sub-$100/kWh pack cost achieved.</w:t>
            </w:r>
          </w:p>
        </w:tc>
        <w:tc>
          <w:tcPr>
            <w:tcW w:type="dxa" w:w="464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Blade Battery announced (March). COVID disruption. BYD + CATL = 35%+ of global EV battery supply.</w:t>
            </w:r>
          </w:p>
        </w:tc>
      </w:tr>
      <w:tr>
        <w:tc>
          <w:tcPr>
            <w:tcW w:type="dxa" w:w="1247"/>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2021</w:t>
            </w:r>
          </w:p>
        </w:tc>
        <w:tc>
          <w:tcPr>
            <w:tcW w:type="dxa" w:w="4763"/>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Giga Berlin and Giga Texas under construction. Tesla market cap exceeds $1 trillion.</w:t>
            </w:r>
          </w:p>
        </w:tc>
        <w:tc>
          <w:tcPr>
            <w:tcW w:type="dxa" w:w="464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monthly NEV sales exceed 100,000 for first time. NIO Power Swap Station 2.0 deployed.</w:t>
            </w:r>
          </w:p>
        </w:tc>
      </w:tr>
      <w:tr>
        <w:tc>
          <w:tcPr>
            <w:tcW w:type="dxa" w:w="1247"/>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2022</w:t>
            </w:r>
          </w:p>
        </w:tc>
        <w:tc>
          <w:tcPr>
            <w:tcW w:type="dxa" w:w="4763"/>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Giga Berlin and Giga Texas open. Giga Press in serial production. Deliveries: 1.31 million.</w:t>
            </w:r>
          </w:p>
        </w:tc>
        <w:tc>
          <w:tcPr>
            <w:tcW w:type="dxa" w:w="464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global NEV sales 1.86 million. BYD surpasses Tesla on annual NEV volume (inc. PHEVs) for the first time. EU opens anti-subsidy investigation.</w:t>
            </w:r>
          </w:p>
        </w:tc>
      </w:tr>
      <w:tr>
        <w:tc>
          <w:tcPr>
            <w:tcW w:type="dxa" w:w="1247"/>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2023</w:t>
            </w:r>
          </w:p>
        </w:tc>
        <w:tc>
          <w:tcPr>
            <w:tcW w:type="dxa" w:w="4763"/>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Tesla price cuts (up to 20%). 4680: 10M cells (June), 20M (October). Cybertruck launches. Deliveries: 1.81 million.</w:t>
            </w:r>
          </w:p>
        </w:tc>
        <w:tc>
          <w:tcPr>
            <w:tcW w:type="dxa" w:w="464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NEV sales ~3 million. BYD surpasses Tesla on pure-BEV in Q4 for first time. China becomes world's largest car exporter. CATL 36%+ global share.</w:t>
            </w:r>
          </w:p>
        </w:tc>
      </w:tr>
      <w:tr>
        <w:tc>
          <w:tcPr>
            <w:tcW w:type="dxa" w:w="1247"/>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2024</w:t>
            </w:r>
          </w:p>
        </w:tc>
        <w:tc>
          <w:tcPr>
            <w:tcW w:type="dxa" w:w="4763"/>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4680 exceeds 50M cells (June). Model Y Juniper refresh. Deliveries ~1.79 million. Intensifying China price competition.</w:t>
            </w:r>
          </w:p>
        </w:tc>
        <w:tc>
          <w:tcPr>
            <w:tcW w:type="dxa" w:w="464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EU imposes additional tariffs on Chinese EVs (up to 35.3%). BYD announces Hungary factory. China exports ~5.8 million vehicles.</w:t>
            </w:r>
          </w:p>
        </w:tc>
      </w:tr>
      <w:tr>
        <w:tc>
          <w:tcPr>
            <w:tcW w:type="dxa" w:w="1247"/>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2025</w:t>
            </w:r>
          </w:p>
        </w:tc>
        <w:tc>
          <w:tcPr>
            <w:tcW w:type="dxa" w:w="4763"/>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4680 dry electrode process mastered at Giga Texas (Q4). Deliveries ~1.64 million (-10%). Budget model (Model Q) programme advances.</w:t>
            </w:r>
          </w:p>
        </w:tc>
        <w:tc>
          <w:tcPr>
            <w:tcW w:type="dxa" w:w="464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NEV sales 2.26 million (+28%). China auto exports 7.1 million (+21.8%). CATL global share 39.2%. Chinese firms control 69% of global EV batteries. China adds cathode material tech to export control list.</w:t>
            </w:r>
          </w:p>
        </w:tc>
      </w:tr>
      <w:tr>
        <w:tc>
          <w:tcPr>
            <w:tcW w:type="dxa" w:w="1247"/>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2026 Q1</w:t>
            </w:r>
          </w:p>
        </w:tc>
        <w:tc>
          <w:tcPr>
            <w:tcW w:type="dxa" w:w="4763"/>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Tesla reclaims pure-BEV lead: 358,023 deliveries. Cybercab (robotaxi) advances. Optimus robot enters limited deployment.</w:t>
            </w:r>
          </w:p>
        </w:tc>
        <w:tc>
          <w:tcPr>
            <w:tcW w:type="dxa" w:w="464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Q1 pure-BEV 310,389 (down 25% — model cycle). CATL global share 40.7% Jan–Mar. Chinese EV presence in Europe continues to expand despite tariffs.</w:t>
            </w:r>
          </w:p>
        </w:tc>
      </w:tr>
    </w:tbl>
    <w:p>
      <w:pPr>
        <w:spacing w:after="120" w:before="0"/>
      </w:pPr>
    </w:p>
    <w:p>
      <w:r>
        <w:br w:type="page"/>
      </w:r>
    </w:p>
    <w:p>
      <w:pPr>
        <w:pStyle w:val="Heading1"/>
        <w:pBdr>
          <w:bottom w:val="single" w:color="1F497D" w:sz="6" w:space="4"/>
        </w:pBdr>
        <w:spacing w:after="80" w:before="280"/>
      </w:pPr>
      <w:r>
        <w:rPr>
          <w:rFonts w:ascii="Arial" w:cs="Arial" w:eastAsia="Arial" w:hAnsi="Arial"/>
          <w:b/>
          <w:bCs/>
          <w:color w:val="1F497D"/>
          <w:sz w:val="26"/>
          <w:szCs w:val="26"/>
        </w:rPr>
        <w:t xml:space="preserve">CLOSING ASSESSMENT</w:t>
      </w:r>
    </w:p>
    <w:p>
      <w:pPr>
        <w:spacing w:after="80" w:before="40"/>
        <w:jc w:val="left"/>
      </w:pPr>
      <w:r>
        <w:rPr>
          <w:rFonts w:ascii="Arial" w:cs="Arial" w:eastAsia="Arial" w:hAnsi="Arial"/>
          <w:b w:val="false"/>
          <w:bCs w:val="false"/>
          <w:i w:val="false"/>
          <w:iCs w:val="false"/>
          <w:color w:val="000000"/>
          <w:sz w:val="20"/>
          <w:szCs w:val="20"/>
        </w:rPr>
        <w:t xml:space="preserve">The EV industry's twenty-year arc contains a compressed version of a pattern that repeats across technology industries: a first-mover disrupts an incumbency by applying a better engineering philosophy; the disruption creates a playbook; a well-resourced fast follower reads the playbook and executes it at lower cost; the first-mover must now compete on a harder frontier.</w:t>
      </w:r>
    </w:p>
    <w:p>
      <w:pPr>
        <w:spacing w:after="80" w:before="40"/>
        <w:jc w:val="left"/>
      </w:pPr>
      <w:r>
        <w:rPr>
          <w:rFonts w:ascii="Arial" w:cs="Arial" w:eastAsia="Arial" w:hAnsi="Arial"/>
          <w:b w:val="false"/>
          <w:bCs w:val="false"/>
          <w:i w:val="false"/>
          <w:iCs w:val="false"/>
          <w:color w:val="000000"/>
          <w:sz w:val="20"/>
          <w:szCs w:val="20"/>
        </w:rPr>
        <w:t xml:space="preserve">For engineering managers, the lesson is not "move fast" or "think big" — those are slogans. The operational lesson is this:</w:t>
      </w:r>
    </w:p>
    <w:tbl>
      <w:tblPr>
        <w:tblW w:type="dxa" w:w="9070"/>
        <w:tblBorders>
          <w:top w:val="single" w:color="1A2B3C" w:sz="4"/>
          <w:left w:val="single" w:color="1A2B3C" w:sz="4"/>
          <w:bottom w:val="single" w:color="1A2B3C" w:sz="4"/>
          <w:right w:val="single" w:color="1A2B3C" w:sz="4"/>
          <w:insideH w:val="single" w:color="auto" w:sz="4"/>
          <w:insideV w:val="single" w:color="auto" w:sz="4"/>
        </w:tblBorders>
        <w:tblLayout w:type="fixed"/>
      </w:tblPr>
      <w:tblGrid>
        <w:gridCol w:w="9070"/>
      </w:tblGrid>
      <w:tr>
        <w:tc>
          <w:tcPr>
            <w:tcW w:type="dxa" w:w="9070"/>
            <w:shd w:fill="D6E4F0" w:color="auto" w:val="clear"/>
            <w:tcMar>
              <w:top w:type="dxa" w:w="80"/>
              <w:left w:type="dxa" w:w="160"/>
              <w:bottom w:type="dxa" w:w="40"/>
              <w:right w:type="dxa" w:w="160"/>
            </w:tcMar>
          </w:tcPr>
          <w:p>
            <w:pPr>
              <w:spacing w:after="20" w:before="40"/>
            </w:pPr>
            <w:r>
              <w:rPr>
                <w:rFonts w:ascii="Arial" w:cs="Arial" w:eastAsia="Arial" w:hAnsi="Arial"/>
                <w:b/>
                <w:bCs/>
                <w:color w:val="1A2B3C"/>
                <w:sz w:val="20"/>
                <w:szCs w:val="20"/>
              </w:rPr>
              <w:t xml:space="preserve">Competitive advantage is an engineering decision made years before it shows up in market share data.</w:t>
            </w:r>
          </w:p>
        </w:tc>
      </w:tr>
      <w:tr>
        <w:tc>
          <w:tcPr>
            <w:tcW w:type="dxa" w:w="9070"/>
            <w:shd w:fill="D6E4F0" w:color="auto" w:val="clear"/>
            <w:tcMar>
              <w:top w:type="dxa" w:w="40"/>
              <w:left w:type="dxa" w:w="160"/>
              <w:bottom w:type="dxa" w:w="40"/>
              <w:right w:type="dxa" w:w="160"/>
            </w:tcMar>
          </w:tcPr>
          <w:p>
            <w:pPr>
              <w:spacing w:after="20" w:before="20"/>
            </w:pPr>
            <w:r>
              <w:rPr>
                <w:rFonts w:ascii="Arial" w:cs="Arial" w:eastAsia="Arial" w:hAnsi="Arial"/>
                <w:sz w:val="20"/>
                <w:szCs w:val="20"/>
              </w:rPr>
              <w:t xml:space="preserve">The Blade Battery's cost advantage in 2022 was determined by BYD's decision to build battery manufacturing capability in 2000.</w:t>
            </w:r>
          </w:p>
        </w:tc>
      </w:tr>
      <w:tr>
        <w:tc>
          <w:tcPr>
            <w:tcW w:type="dxa" w:w="9070"/>
            <w:shd w:fill="D6E4F0" w:color="auto" w:val="clear"/>
            <w:tcMar>
              <w:top w:type="dxa" w:w="40"/>
              <w:left w:type="dxa" w:w="160"/>
              <w:bottom w:type="dxa" w:w="40"/>
              <w:right w:type="dxa" w:w="160"/>
            </w:tcMar>
          </w:tcPr>
          <w:p>
            <w:pPr>
              <w:spacing w:after="20" w:before="20"/>
            </w:pPr>
            <w:r>
              <w:rPr>
                <w:rFonts w:ascii="Arial" w:cs="Arial" w:eastAsia="Arial" w:hAnsi="Arial"/>
                <w:sz w:val="20"/>
                <w:szCs w:val="20"/>
              </w:rPr>
              <w:t xml:space="preserve">CATL's 40% global market share in 2026 was determined by supply chain investments made under Chinese industrial policy from 2009.</w:t>
            </w:r>
          </w:p>
        </w:tc>
      </w:tr>
      <w:tr>
        <w:tc>
          <w:tcPr>
            <w:tcW w:type="dxa" w:w="9070"/>
            <w:shd w:fill="D6E4F0" w:color="auto" w:val="clear"/>
            <w:tcMar>
              <w:top w:type="dxa" w:w="40"/>
              <w:left w:type="dxa" w:w="160"/>
              <w:bottom w:type="dxa" w:w="40"/>
              <w:right w:type="dxa" w:w="160"/>
            </w:tcMar>
          </w:tcPr>
          <w:p>
            <w:pPr>
              <w:spacing w:after="20" w:before="20"/>
            </w:pPr>
            <w:r>
              <w:rPr>
                <w:rFonts w:ascii="Arial" w:cs="Arial" w:eastAsia="Arial" w:hAnsi="Arial"/>
                <w:sz w:val="20"/>
                <w:szCs w:val="20"/>
              </w:rPr>
              <w:t xml:space="preserve">Tesla's OTA advantage in 2018 was determined by the software architecture decisions made in 2012.</w:t>
            </w:r>
          </w:p>
        </w:tc>
      </w:tr>
      <w:tr>
        <w:tc>
          <w:tcPr>
            <w:tcW w:type="dxa" w:w="9070"/>
            <w:shd w:fill="D6E4F0" w:color="auto" w:val="clear"/>
            <w:tcMar>
              <w:top w:type="dxa" w:w="40"/>
              <w:left w:type="dxa" w:w="160"/>
              <w:bottom w:type="dxa" w:w="40"/>
              <w:right w:type="dxa" w:w="160"/>
            </w:tcMar>
          </w:tcPr>
          <w:p>
            <w:pPr>
              <w:spacing w:after="20" w:before="20"/>
            </w:pPr>
            <w:r>
              <w:rPr>
                <w:rFonts w:ascii="Arial" w:cs="Arial" w:eastAsia="Arial" w:hAnsi="Arial"/>
                <w:sz w:val="20"/>
                <w:szCs w:val="20"/>
              </w:rPr>
              <w:t xml:space="preserve"/>
            </w:r>
          </w:p>
        </w:tc>
      </w:tr>
      <w:tr>
        <w:tc>
          <w:tcPr>
            <w:tcW w:type="dxa" w:w="9070"/>
            <w:shd w:fill="D6E4F0" w:color="auto" w:val="clear"/>
            <w:tcMar>
              <w:top w:type="dxa" w:w="40"/>
              <w:left w:type="dxa" w:w="160"/>
              <w:bottom w:type="dxa" w:w="120"/>
              <w:right w:type="dxa" w:w="160"/>
            </w:tcMar>
          </w:tcPr>
          <w:p>
            <w:pPr>
              <w:spacing w:after="20" w:before="20"/>
            </w:pPr>
            <w:r>
              <w:rPr>
                <w:rFonts w:ascii="Arial" w:cs="Arial" w:eastAsia="Arial" w:hAnsi="Arial"/>
                <w:sz w:val="20"/>
                <w:szCs w:val="20"/>
              </w:rPr>
              <w:t xml:space="preserve">The engineering manager's job is to make the decisions now that produce the compounding advantages five years from now — and to identify which of today's advantages are about to be undercut by a faster learner who has studied the playbook more carefully than you have.</w:t>
            </w:r>
          </w:p>
        </w:tc>
      </w:tr>
    </w:tbl>
    <w:p>
      <w:pPr>
        <w:spacing w:after="100" w:before="0"/>
      </w:pPr>
    </w:p>
    <w:p>
      <w:pPr>
        <w:pStyle w:val="Heading1"/>
        <w:pBdr>
          <w:bottom w:val="single" w:color="1F497D" w:sz="6" w:space="4"/>
        </w:pBdr>
        <w:spacing w:after="80" w:before="280"/>
      </w:pPr>
      <w:r>
        <w:rPr>
          <w:rFonts w:ascii="Arial" w:cs="Arial" w:eastAsia="Arial" w:hAnsi="Arial"/>
          <w:b/>
          <w:bCs/>
          <w:color w:val="1F497D"/>
          <w:sz w:val="26"/>
          <w:szCs w:val="26"/>
        </w:rPr>
        <w:t xml:space="preserve">SOURCES AND DATA VERIFICATION</w:t>
      </w:r>
    </w:p>
    <w:p>
      <w:pPr>
        <w:spacing w:after="80" w:before="40"/>
        <w:jc w:val="left"/>
      </w:pPr>
      <w:r>
        <w:rPr>
          <w:rFonts w:ascii="Arial" w:cs="Arial" w:eastAsia="Arial" w:hAnsi="Arial"/>
          <w:b w:val="false"/>
          <w:bCs w:val="false"/>
          <w:i w:val="false"/>
          <w:iCs w:val="false"/>
          <w:color w:val="000000"/>
          <w:sz w:val="20"/>
          <w:szCs w:val="20"/>
        </w:rPr>
        <w:t xml:space="preserve">All major claims are sourced inline. Key figures noted below:</w:t>
      </w:r>
    </w:p>
    <w:tbl>
      <w:tblPr>
        <w:tblW w:type="dxa" w:w="9527"/>
        <w:tblBorders>
          <w:top w:val="single" w:color="D9D9D9" w:sz="4"/>
          <w:left w:val="single" w:color="D9D9D9" w:sz="4"/>
          <w:bottom w:val="single" w:color="D9D9D9" w:sz="4"/>
          <w:right w:val="single" w:color="D9D9D9" w:sz="4"/>
          <w:insideH w:val="single" w:color="auto" w:sz="4"/>
          <w:insideV w:val="single" w:color="auto" w:sz="4"/>
        </w:tblBorders>
        <w:tblLayout w:type="fixed"/>
      </w:tblPr>
      <w:tblGrid>
        <w:gridCol w:w="3119"/>
        <w:gridCol w:w="4820"/>
        <w:gridCol w:w="1588"/>
      </w:tblGrid>
      <w:tr>
        <w:trPr>
          <w:tblHeader/>
        </w:trPr>
        <w:tc>
          <w:tcPr>
            <w:tcW w:type="dxa" w:w="3119"/>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Source</w:t>
            </w:r>
          </w:p>
        </w:tc>
        <w:tc>
          <w:tcPr>
            <w:tcW w:type="dxa" w:w="4820"/>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Key Data Point</w:t>
            </w:r>
          </w:p>
        </w:tc>
        <w:tc>
          <w:tcPr>
            <w:tcW w:type="dxa" w:w="1588"/>
            <w:shd w:fill="1F497D" w:color="auto" w:val="clear"/>
            <w:tcMar>
              <w:top w:type="dxa" w:w="60"/>
              <w:left w:type="dxa" w:w="120"/>
              <w:bottom w:type="dxa" w:w="60"/>
              <w:right w:type="dxa" w:w="120"/>
            </w:tcMar>
            <w:vAlign w:val="center"/>
          </w:tcPr>
          <w:p>
            <w:pPr>
              <w:spacing w:after="20" w:before="20"/>
            </w:pPr>
            <w:r>
              <w:rPr>
                <w:rFonts w:ascii="Arial" w:cs="Arial" w:eastAsia="Arial" w:hAnsi="Arial"/>
                <w:b/>
                <w:bCs/>
                <w:color w:val="FFFFFF"/>
                <w:sz w:val="18"/>
                <w:szCs w:val="18"/>
              </w:rPr>
              <w:t xml:space="preserve">Date Observed</w:t>
            </w:r>
          </w:p>
        </w:tc>
      </w:tr>
      <w:tr>
        <w:tc>
          <w:tcPr>
            <w:tcW w:type="dxa" w:w="311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CNBC January 2026</w:t>
            </w:r>
          </w:p>
        </w:tc>
        <w:tc>
          <w:tcPr>
            <w:tcW w:type="dxa" w:w="4820"/>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overtakes Tesla as world's top EV seller 2025 full year</w:t>
            </w:r>
          </w:p>
        </w:tc>
        <w:tc>
          <w:tcPr>
            <w:tcW w:type="dxa" w:w="158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Jan 2026</w:t>
            </w:r>
          </w:p>
        </w:tc>
      </w:tr>
      <w:tr>
        <w:tc>
          <w:tcPr>
            <w:tcW w:type="dxa" w:w="311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InsideEVs Q1 2026</w:t>
            </w:r>
          </w:p>
        </w:tc>
        <w:tc>
          <w:tcPr>
            <w:tcW w:type="dxa" w:w="4820"/>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Tesla Q1 2026 deliveries 358,023; BYD 310,389 pure-BEV (down 25%, model cycle)</w:t>
            </w:r>
          </w:p>
        </w:tc>
        <w:tc>
          <w:tcPr>
            <w:tcW w:type="dxa" w:w="1588"/>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Q1 2026</w:t>
            </w:r>
          </w:p>
        </w:tc>
      </w:tr>
      <w:tr>
        <w:tc>
          <w:tcPr>
            <w:tcW w:type="dxa" w:w="311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CnEVPost July 2026</w:t>
            </w:r>
          </w:p>
        </w:tc>
        <w:tc>
          <w:tcPr>
            <w:tcW w:type="dxa" w:w="4820"/>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CATL global battery share Jan–May 2026: 40.2%</w:t>
            </w:r>
          </w:p>
        </w:tc>
        <w:tc>
          <w:tcPr>
            <w:tcW w:type="dxa" w:w="158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Jul 2026</w:t>
            </w:r>
          </w:p>
        </w:tc>
      </w:tr>
      <w:tr>
        <w:tc>
          <w:tcPr>
            <w:tcW w:type="dxa" w:w="311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CnEVPost February 2026</w:t>
            </w:r>
          </w:p>
        </w:tc>
        <w:tc>
          <w:tcPr>
            <w:tcW w:type="dxa" w:w="4820"/>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CATL 2025 full year: 464.7 GWh, 39.2% global share</w:t>
            </w:r>
          </w:p>
        </w:tc>
        <w:tc>
          <w:tcPr>
            <w:tcW w:type="dxa" w:w="1588"/>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Feb 2026</w:t>
            </w:r>
          </w:p>
        </w:tc>
      </w:tr>
      <w:tr>
        <w:tc>
          <w:tcPr>
            <w:tcW w:type="dxa" w:w="311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CarbonCredits.com 2025</w:t>
            </w:r>
          </w:p>
        </w:tc>
        <w:tc>
          <w:tcPr>
            <w:tcW w:type="dxa" w:w="4820"/>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China controls 69% of global EV battery installations; 98% LFP active material</w:t>
            </w:r>
          </w:p>
        </w:tc>
        <w:tc>
          <w:tcPr>
            <w:tcW w:type="dxa" w:w="158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2025</w:t>
            </w:r>
          </w:p>
        </w:tc>
      </w:tr>
      <w:tr>
        <w:tc>
          <w:tcPr>
            <w:tcW w:type="dxa" w:w="311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CarnewsChina December 2024</w:t>
            </w:r>
          </w:p>
        </w:tc>
        <w:tc>
          <w:tcPr>
            <w:tcW w:type="dxa" w:w="4820"/>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Blade Battery 2.0 targets; pack cost below $85/kWh</w:t>
            </w:r>
          </w:p>
        </w:tc>
        <w:tc>
          <w:tcPr>
            <w:tcW w:type="dxa" w:w="1588"/>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Dec 2024</w:t>
            </w:r>
          </w:p>
        </w:tc>
      </w:tr>
      <w:tr>
        <w:tc>
          <w:tcPr>
            <w:tcW w:type="dxa" w:w="311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AutoChina.blog 2026</w:t>
            </w:r>
          </w:p>
        </w:tc>
        <w:tc>
          <w:tcPr>
            <w:tcW w:type="dxa" w:w="4820"/>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BYD Europe 188,000 units 2025; China auto exports 7.1M (+21.8%)</w:t>
            </w:r>
          </w:p>
        </w:tc>
        <w:tc>
          <w:tcPr>
            <w:tcW w:type="dxa" w:w="158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2026</w:t>
            </w:r>
          </w:p>
        </w:tc>
      </w:tr>
      <w:tr>
        <w:tc>
          <w:tcPr>
            <w:tcW w:type="dxa" w:w="311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Battery-energy-storage.com 2025</w:t>
            </w:r>
          </w:p>
        </w:tc>
        <w:tc>
          <w:tcPr>
            <w:tcW w:type="dxa" w:w="4820"/>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China export controls on cathode material prep technologies, July 2025</w:t>
            </w:r>
          </w:p>
        </w:tc>
        <w:tc>
          <w:tcPr>
            <w:tcW w:type="dxa" w:w="1588"/>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Jul 2025</w:t>
            </w:r>
          </w:p>
        </w:tc>
      </w:tr>
      <w:tr>
        <w:tc>
          <w:tcPr>
            <w:tcW w:type="dxa" w:w="311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Tesla Battery Day, Sept 2020</w:t>
            </w:r>
          </w:p>
        </w:tc>
        <w:tc>
          <w:tcPr>
            <w:tcW w:type="dxa" w:w="4820"/>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4680 cell; structural pack; Giga Press; "machine that builds the machine"</w:t>
            </w:r>
          </w:p>
        </w:tc>
        <w:tc>
          <w:tcPr>
            <w:tcW w:type="dxa" w:w="158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Sep 2020</w:t>
            </w:r>
          </w:p>
        </w:tc>
      </w:tr>
      <w:tr>
        <w:tc>
          <w:tcPr>
            <w:tcW w:type="dxa" w:w="311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Tesla production updates 2023–24</w:t>
            </w:r>
          </w:p>
        </w:tc>
        <w:tc>
          <w:tcPr>
            <w:tcW w:type="dxa" w:w="4820"/>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4680 cell milestones: 10M (Jun 2023), 20M (Oct 2023), 50M+ (Jun 2024)</w:t>
            </w:r>
          </w:p>
        </w:tc>
        <w:tc>
          <w:tcPr>
            <w:tcW w:type="dxa" w:w="1588"/>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2023–2024</w:t>
            </w:r>
          </w:p>
        </w:tc>
      </w:tr>
      <w:tr>
        <w:tc>
          <w:tcPr>
            <w:tcW w:type="dxa" w:w="311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Electrek 2025</w:t>
            </w:r>
          </w:p>
        </w:tc>
        <w:tc>
          <w:tcPr>
            <w:tcW w:type="dxa" w:w="4820"/>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4680 dry electrode process mastered Q4 2025</w:t>
            </w:r>
          </w:p>
        </w:tc>
        <w:tc>
          <w:tcPr>
            <w:tcW w:type="dxa" w:w="158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2025</w:t>
            </w:r>
          </w:p>
        </w:tc>
      </w:tr>
      <w:tr>
        <w:tc>
          <w:tcPr>
            <w:tcW w:type="dxa" w:w="311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BloombergNEF 2020</w:t>
            </w:r>
          </w:p>
        </w:tc>
        <w:tc>
          <w:tcPr>
            <w:tcW w:type="dxa" w:w="4820"/>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Tesla battery cost below $100/kWh at pack level</w:t>
            </w:r>
          </w:p>
        </w:tc>
        <w:tc>
          <w:tcPr>
            <w:tcW w:type="dxa" w:w="1588"/>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2020</w:t>
            </w:r>
          </w:p>
        </w:tc>
      </w:tr>
      <w:tr>
        <w:tc>
          <w:tcPr>
            <w:tcW w:type="dxa" w:w="3119"/>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Musk, TED Talk 2013</w:t>
            </w:r>
          </w:p>
        </w:tc>
        <w:tc>
          <w:tcPr>
            <w:tcW w:type="dxa" w:w="4820"/>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First principles method — battery cost as manufacturing problem</w:t>
            </w:r>
          </w:p>
        </w:tc>
        <w:tc>
          <w:tcPr>
            <w:tcW w:type="dxa" w:w="1588"/>
            <w:shd w:fill="FFFFFF"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2013</w:t>
            </w:r>
          </w:p>
        </w:tc>
      </w:tr>
      <w:tr>
        <w:tc>
          <w:tcPr>
            <w:tcW w:type="dxa" w:w="3119"/>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Twitter/X, Musk, April 2018</w:t>
            </w:r>
          </w:p>
        </w:tc>
        <w:tc>
          <w:tcPr>
            <w:tcW w:type="dxa" w:w="4820"/>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"Excessive automation at Tesla was a mistake. Humans are underrated."</w:t>
            </w:r>
          </w:p>
        </w:tc>
        <w:tc>
          <w:tcPr>
            <w:tcW w:type="dxa" w:w="1588"/>
            <w:shd w:fill="F2F2F2" w:color="auto" w:val="clear"/>
            <w:tcMar>
              <w:top w:type="dxa" w:w="40"/>
              <w:left w:type="dxa" w:w="120"/>
              <w:bottom w:type="dxa" w:w="40"/>
              <w:right w:type="dxa" w:w="120"/>
            </w:tcMar>
            <w:vAlign w:val="center"/>
          </w:tcPr>
          <w:p>
            <w:pPr>
              <w:spacing w:after="20" w:before="20"/>
            </w:pPr>
            <w:r>
              <w:rPr>
                <w:rFonts w:ascii="Arial" w:cs="Arial" w:eastAsia="Arial" w:hAnsi="Arial"/>
                <w:b w:val="false"/>
                <w:bCs w:val="false"/>
                <w:color w:val="000000"/>
                <w:sz w:val="18"/>
                <w:szCs w:val="18"/>
              </w:rPr>
              <w:t xml:space="preserve">Apr 2018</w:t>
            </w:r>
          </w:p>
        </w:tc>
      </w:tr>
    </w:tbl>
    <w:p>
      <w:pPr>
        <w:spacing w:after="120" w:before="0"/>
      </w:pPr>
    </w:p>
    <w:p>
      <w:pPr>
        <w:spacing w:after="120" w:before="0"/>
      </w:pPr>
    </w:p>
    <w:p>
      <w:pPr>
        <w:pBdr>
          <w:top w:val="single" w:color="D9D9D9" w:sz="4" w:space="8"/>
        </w:pBdr>
        <w:spacing w:after="40" w:before="0"/>
        <w:jc w:val="center"/>
      </w:pPr>
      <w:r>
        <w:rPr>
          <w:rFonts w:ascii="Arial" w:cs="Arial" w:eastAsia="Arial" w:hAnsi="Arial"/>
          <w:i/>
          <w:iCs/>
          <w:color w:val="595959"/>
          <w:sz w:val="16"/>
          <w:szCs w:val="16"/>
        </w:rPr>
        <w:t xml:space="preserve">The Works  |  Engineering Manager Education Series  |  28 July 2026  |  Felix, Senior Researcher</w:t>
      </w:r>
    </w:p>
    <w:sectPr>
      <w:headerReference w:type="default" r:id="rId7"/>
      <w:pgSz w:w="11906" w:h="16838" w:orient="portrait"/>
      <w:pgMar w:top="1134"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spacing w:after="60" w:before="0"/>
      <w:jc w:val="right"/>
    </w:pPr>
    <w:r>
      <w:rPr>
        <w:rFonts w:ascii="Arial" w:cs="Arial" w:eastAsia="Arial" w:hAnsi="Arial"/>
        <w:color w:val="595959"/>
        <w:sz w:val="16"/>
        <w:szCs w:val="16"/>
      </w:rPr>
      <w:t xml:space="preserve">THE WORKS  |  EV Leadership Study  |  28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rPr>
        <w:rFonts w:ascii="Arial" w:cs="Arial" w:eastAsia="Arial" w:hAnsi="Arial"/>
        <w:sz w:val="20"/>
        <w:szCs w:val="20"/>
      </w:rPr>
    </w:lvl>
    <w:lvl w:ilvl="1" w15:tentative="1">
      <w:start w:val="1"/>
      <w:numFmt w:val="bullet"/>
      <w:lvlText w:val="◦"/>
      <w:lvlJc w:val="left"/>
      <w:pPr>
        <w:ind w:left="936" w:hanging="259"/>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80" w:before="280"/>
    </w:pPr>
    <w:rPr>
      <w:rFonts w:ascii="Arial" w:cs="Arial" w:eastAsia="Arial" w:hAnsi="Arial"/>
      <w:b/>
      <w:bCs/>
      <w:color w:val="1F497D"/>
      <w:sz w:val="26"/>
      <w:szCs w:val="26"/>
    </w:rPr>
  </w:style>
  <w:style w:type="paragraph" w:styleId="Heading2">
    <w:name w:val="Heading 2"/>
    <w:basedOn w:val="Normal"/>
    <w:next w:val="Normal"/>
    <w:pPr>
      <w:spacing w:after="60" w:before="200"/>
    </w:pPr>
    <w:rPr>
      <w:rFonts w:ascii="Arial" w:cs="Arial" w:eastAsia="Arial" w:hAnsi="Arial"/>
      <w:b/>
      <w:bCs/>
      <w:color w:val="1A2B3C"/>
      <w:sz w:val="22"/>
      <w:szCs w:val="22"/>
    </w:rPr>
  </w:style>
  <w:style w:type="paragraph" w:styleId="Heading3">
    <w:name w:val="Heading 3"/>
    <w:basedOn w:val="Normal"/>
    <w:next w:val="Normal"/>
    <w:pPr>
      <w:spacing w:after="40" w:before="160"/>
    </w:pPr>
    <w:rPr>
      <w:rFonts w:ascii="Arial" w:cs="Arial" w:eastAsia="Arial" w:hAnsi="Arial"/>
      <w:b/>
      <w:bCs/>
      <w:color w:val="1F497D"/>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2026-07-28T01:47:55.689Z</dcterms:created>
  <dcterms:modified xsi:type="dcterms:W3CDTF">2026-07-28T01:47:55.689Z</dcterms:modified>
</cp:coreProperties>
</file>

<file path=docProps/custom.xml><?xml version="1.0" encoding="utf-8"?>
<Properties xmlns="http://schemas.openxmlformats.org/officeDocument/2006/custom-properties" xmlns:vt="http://schemas.openxmlformats.org/officeDocument/2006/docPropsVTypes"/>
</file>