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rPr>
        <w:t>Engineering Assessment — Subframe Requirement</w:t>
      </w:r>
    </w:p>
    <w:p>
      <w:r>
        <w:rPr>
          <w:b/>
        </w:rPr>
        <w:t xml:space="preserve">Build: </w:t>
      </w:r>
      <w:r>
        <w:t>Rigid tanker, Class 3 fuels, Volvo FM chassis</w:t>
      </w:r>
    </w:p>
    <w:p>
      <w:r>
        <w:rPr>
          <w:b/>
        </w:rPr>
        <w:t xml:space="preserve">Prepared by: </w:t>
      </w:r>
      <w:r>
        <w:t>Harlow — Heavy Vehicle Body Engineer, The Works</w:t>
      </w:r>
    </w:p>
    <w:p>
      <w:r>
        <w:rPr>
          <w:b/>
        </w:rPr>
        <w:t xml:space="preserve">Date: </w:t>
      </w:r>
      <w:r>
        <w:t>19 May 2026</w:t>
      </w:r>
    </w:p>
    <w:p>
      <w:r>
        <w:rPr>
          <w:b/>
        </w:rPr>
        <w:t xml:space="preserve">Sources: </w:t>
      </w:r>
      <w:r>
        <w:t>Volvo BBI 2026; AS 2809.2:2020; AS 2809.1:2020/2023; AS/NZS 3678; AS/NZS 1163</w:t>
      </w:r>
    </w:p>
    <w:p/>
    <w:p>
      <w:pPr>
        <w:pStyle w:val="Heading2"/>
      </w:pPr>
      <w:r>
        <w:rPr>
          <w:color w:val="2E6EA6"/>
        </w:rPr>
        <w:t>1. Is a Subframe Required?</w:t>
      </w:r>
    </w:p>
    <w:p>
      <w:r>
        <w:rPr>
          <w:b/>
        </w:rPr>
        <w:t>YES — a subframe is mandatory for this build.</w:t>
      </w:r>
    </w:p>
    <w:p>
      <w:r>
        <w:t>The Volvo FM chassis rails are designed with controlled longitudinal flexibility — they are not a rigid beam. A tanker shell, by contrast, is a structurally rigid body. Mounting a rigid tank shell directly to a flexible chassis without a subframe transfers torsional stresses into the tank shell and chassis rails in ways neither is designed to absorb. This causes fatigue cracking in the chassis, weld failures in the tank shell, and potential catastrophic failure — unacceptable for a Class 3 fuel tanker.</w:t>
      </w:r>
    </w:p>
    <w:p>
      <w:r>
        <w:t>The subframe is the engineered interface between the tank and the chassis. It manages load transfer, protects the chassis rails from point loading, and provides the flat, consistent mounting surface the tank requires.</w:t>
      </w:r>
    </w:p>
    <w:p>
      <w:r>
        <w:t>The Volvo FM BBI confirms subframe attachment as the standard method for rigid body mounting and specifies 266 mm or 300 mm frame height options for rigids — the subframe design must match the selected frame profile.</w:t>
      </w:r>
    </w:p>
    <w:p>
      <w:r>
        <w:rPr>
          <w:b/>
        </w:rPr>
        <w:t xml:space="preserve">Source: </w:t>
      </w:r>
      <w:r>
        <w:t>Volvo Body Builder Instructions 2026, Section 7 — observed: 19 May 2026</w:t>
      </w:r>
    </w:p>
    <w:p>
      <w:pPr>
        <w:pStyle w:val="Heading2"/>
      </w:pPr>
      <w:r>
        <w:rPr>
          <w:color w:val="2E6EA6"/>
        </w:rPr>
        <w:t>2. Are Cross Members Required?</w:t>
      </w:r>
    </w:p>
    <w:p>
      <w:r>
        <w:rPr>
          <w:b/>
        </w:rPr>
        <w:t>YES — cross members are required.</w:t>
      </w:r>
    </w:p>
    <w:p>
      <w:r>
        <w:t>The Volvo BBI states: "An adequate number of cross members should also be installed in the subframe to prevent lateral movement."</w:t>
      </w:r>
    </w:p>
    <w:p>
      <w:r>
        <w:t>Cross members serve three functions in a tanker subframe:</w:t>
      </w:r>
    </w:p>
    <w:p>
      <w:pPr>
        <w:pStyle w:val="ListBullet"/>
      </w:pPr>
      <w:r>
        <w:t>Prevent racking — stop the subframe rails from parallelogramming under cornering loads</w:t>
      </w:r>
    </w:p>
    <w:p>
      <w:pPr>
        <w:pStyle w:val="ListBullet"/>
      </w:pPr>
      <w:r>
        <w:t>Distribute load — spread tank weight and liquid surge forces evenly across the subframe</w:t>
      </w:r>
    </w:p>
    <w:p>
      <w:pPr>
        <w:pStyle w:val="ListBullet"/>
      </w:pPr>
      <w:r>
        <w:t>Torsional rigidity — resist twisting forces when a laden tanker corners or traverses uneven ground</w:t>
      </w:r>
    </w:p>
    <w:p>
      <w:r>
        <w:t>For a Class 3 fuel tanker, liquid surge during braking and cornering generates significant dynamic lateral and longitudinal forces. Cross member placement must account for these loads, not just static weight.</w:t>
      </w:r>
    </w:p>
    <w:p>
      <w:r>
        <w:rPr>
          <w:b/>
        </w:rPr>
        <w:t xml:space="preserve">Source: </w:t>
      </w:r>
      <w:r>
        <w:t>Volvo Body Builder Instructions 2026, Section 7 — observed: 19 May 2026</w:t>
      </w:r>
    </w:p>
    <w:p>
      <w:pPr>
        <w:pStyle w:val="Heading2"/>
      </w:pPr>
      <w:r>
        <w:rPr>
          <w:color w:val="2E6EA6"/>
        </w:rPr>
        <w:t>3. Cross Member Placement — Guiding Principles</w:t>
      </w:r>
    </w:p>
    <w:p>
      <w:r>
        <w:t>The BBI does not prescribe a fixed cross member count — "adequate number" is an engineering judgement based on tank length, compartment layout, and baffle positions. Standard practice:</w:t>
      </w:r>
    </w:p>
    <w:p>
      <w:pPr>
        <w:pStyle w:val="ListBullet"/>
      </w:pPr>
      <w:r>
        <w:t>At or near each baffle position — baffles concentrate surge loads; cross members transfer those loads to the subframe rails</w:t>
      </w:r>
    </w:p>
    <w:p>
      <w:pPr>
        <w:pStyle w:val="ListBullet"/>
      </w:pPr>
      <w:r>
        <w:t>At tank mounting saddle positions — directly under each tank saddle/cradle</w:t>
      </w:r>
    </w:p>
    <w:p>
      <w:pPr>
        <w:pStyle w:val="ListBullet"/>
      </w:pPr>
      <w:r>
        <w:t>Front and rear of tank — end cross members are non-negotiable</w:t>
      </w:r>
    </w:p>
    <w:p>
      <w:pPr>
        <w:pStyle w:val="ListBullet"/>
      </w:pPr>
      <w:r>
        <w:t>Maximum unsupported span: 900–1200 mm between cross members for fuel tanker applications — confirm against tank shell engineering</w:t>
      </w:r>
    </w:p>
    <w:p>
      <w:pPr>
        <w:pStyle w:val="Heading2"/>
      </w:pPr>
      <w:r>
        <w:rPr>
          <w:color w:val="2E6EA6"/>
        </w:rPr>
        <w:t>4. Cross Member Material</w:t>
      </w:r>
    </w:p>
    <w:p>
      <w:r>
        <w:rPr>
          <w:b/>
        </w:rPr>
        <w:t>Structural steel, Grade 350 (C350L0 to AS/NZS 3678 / AS/NZS 1163).</w:t>
      </w:r>
    </w:p>
    <w:p>
      <w:r>
        <w:t>Grade 350 is the Australian industry standard for heavy vehicle subframe and cross member construction.</w:t>
      </w:r>
    </w:p>
    <w:tbl>
      <w:tblPr>
        <w:tblStyle w:val="TableGrid"/>
        <w:tblW w:type="auto" w:w="0"/>
        <w:tblLook w:firstColumn="1" w:firstRow="1" w:lastColumn="0" w:lastRow="0" w:noHBand="0" w:noVBand="1" w:val="04A0"/>
      </w:tblPr>
      <w:tblGrid>
        <w:gridCol w:w="4320"/>
        <w:gridCol w:w="4320"/>
      </w:tblGrid>
      <w:tr>
        <w:tc>
          <w:tcPr>
            <w:tcW w:type="dxa" w:w="4320"/>
            <w:shd w:fill="1F3A5F" w:color="auto" w:val="clear"/>
          </w:tcPr>
          <w:p>
            <w:r>
              <w:rPr>
                <w:b/>
                <w:color w:val="FFFFFF"/>
              </w:rPr>
              <w:t>Property</w:t>
            </w:r>
          </w:p>
        </w:tc>
        <w:tc>
          <w:tcPr>
            <w:tcW w:type="dxa" w:w="4320"/>
            <w:shd w:fill="1F3A5F" w:color="auto" w:val="clear"/>
          </w:tcPr>
          <w:p>
            <w:r>
              <w:rPr>
                <w:b/>
                <w:color w:val="FFFFFF"/>
              </w:rPr>
              <w:t>Value</w:t>
            </w:r>
          </w:p>
        </w:tc>
      </w:tr>
      <w:tr>
        <w:tc>
          <w:tcPr>
            <w:tcW w:type="dxa" w:w="4320"/>
          </w:tcPr>
          <w:p>
            <w:r>
              <w:t>Yield strength</w:t>
            </w:r>
          </w:p>
        </w:tc>
        <w:tc>
          <w:tcPr>
            <w:tcW w:type="dxa" w:w="4320"/>
          </w:tcPr>
          <w:p>
            <w:r>
              <w:t>360 MPa minimum (plate/RHS ≤11 mm)</w:t>
            </w:r>
          </w:p>
        </w:tc>
      </w:tr>
      <w:tr>
        <w:tc>
          <w:tcPr>
            <w:tcW w:type="dxa" w:w="4320"/>
          </w:tcPr>
          <w:p>
            <w:r>
              <w:t>Tensile strength</w:t>
            </w:r>
          </w:p>
        </w:tc>
        <w:tc>
          <w:tcPr>
            <w:tcW w:type="dxa" w:w="4320"/>
          </w:tcPr>
          <w:p>
            <w:r>
              <w:t>480 MPa minimum</w:t>
            </w:r>
          </w:p>
        </w:tc>
      </w:tr>
      <w:tr>
        <w:tc>
          <w:tcPr>
            <w:tcW w:type="dxa" w:w="4320"/>
          </w:tcPr>
          <w:p>
            <w:r>
              <w:t>Plate/flat standard</w:t>
            </w:r>
          </w:p>
        </w:tc>
        <w:tc>
          <w:tcPr>
            <w:tcW w:type="dxa" w:w="4320"/>
          </w:tcPr>
          <w:p>
            <w:r>
              <w:t>AS/NZS 3678</w:t>
            </w:r>
          </w:p>
        </w:tc>
      </w:tr>
      <w:tr>
        <w:tc>
          <w:tcPr>
            <w:tcW w:type="dxa" w:w="4320"/>
          </w:tcPr>
          <w:p>
            <w:r>
              <w:t>Hollow sections standard</w:t>
            </w:r>
          </w:p>
        </w:tc>
        <w:tc>
          <w:tcPr>
            <w:tcW w:type="dxa" w:w="4320"/>
          </w:tcPr>
          <w:p>
            <w:r>
              <w:t>AS/NZS 1163</w:t>
            </w:r>
          </w:p>
        </w:tc>
      </w:tr>
    </w:tbl>
    <w:p/>
    <w:p>
      <w:r>
        <w:t>Section profile for cross members: Rectangular Hollow Section (RHS), Grade 350 to AS/NZS 1163. RHS provides high bending strength in both axes, resists torsion better than open sections, and does not trap moisture the way channel sections can.</w:t>
      </w:r>
    </w:p>
    <w:p>
      <w:r>
        <w:rPr>
          <w:b/>
        </w:rPr>
        <w:t xml:space="preserve">Do not use mild steel (Grade 250) </w:t>
      </w:r>
      <w:r>
        <w:t>for cross members in a Class 3 tanker application — insufficient yield strength for the dynamic loading environment.</w:t>
      </w:r>
    </w:p>
    <w:p>
      <w:r>
        <w:rPr>
          <w:b/>
        </w:rPr>
        <w:t xml:space="preserve">Subframe rails: </w:t>
      </w:r>
      <w:r>
        <w:t>Grade 350 C-channel or RHS to AS/NZS 3678 / 1163. The subframe must not be the weakest structural element in the assembly.</w:t>
      </w:r>
    </w:p>
    <w:p>
      <w:r>
        <w:rPr>
          <w:b/>
        </w:rPr>
        <w:t xml:space="preserve">Source: </w:t>
      </w:r>
      <w:r>
        <w:t>AS/NZS 3678; AS/NZS 1163 — observed: 19 May 2026</w:t>
      </w:r>
    </w:p>
    <w:p>
      <w:pPr>
        <w:pStyle w:val="Heading2"/>
      </w:pPr>
      <w:r>
        <w:rPr>
          <w:color w:val="2E6EA6"/>
        </w:rPr>
        <w:t>5. Subframe Mounting — Volvo FM Specific Requirements</w:t>
      </w:r>
    </w:p>
    <w:p>
      <w:r>
        <w:t>Per the Volvo BBI:</w:t>
      </w:r>
    </w:p>
    <w:p>
      <w:pPr>
        <w:pStyle w:val="ListBullet"/>
      </w:pPr>
      <w:r>
        <w:t>Front two anchorages: must allow longitudinal movement — use slotted bolt holes or a sliding bracket. Do not rigidly fix the front.</w:t>
      </w:r>
    </w:p>
    <w:p>
      <w:pPr>
        <w:pStyle w:val="ListBullet"/>
      </w:pPr>
      <w:r>
        <w:t>Remaining anchorages: rigidly fixed — weld flat plates to the subframe web and bolt to the chassis rail web.</w:t>
      </w:r>
    </w:p>
    <w:p>
      <w:pPr>
        <w:pStyle w:val="ListBullet"/>
      </w:pPr>
      <w:r>
        <w:t>Front end taper: subframe front end must be tapered at 25° to reduce stress concentration.</w:t>
      </w:r>
    </w:p>
    <w:p>
      <w:pPr>
        <w:pStyle w:val="ListBullet"/>
      </w:pPr>
      <w:r>
        <w:t>Bottom leading edge: must be chamfered to prevent chafing on the chassis rail.</w:t>
      </w:r>
    </w:p>
    <w:p>
      <w:pPr>
        <w:pStyle w:val="ListBullet"/>
      </w:pPr>
      <w:r>
        <w:t>Do not weld to the top flange of the Volvo FM chassis rail — bolt through the web only.</w:t>
      </w:r>
    </w:p>
    <w:p>
      <w:r>
        <w:rPr>
          <w:b/>
        </w:rPr>
        <w:t xml:space="preserve">Source: </w:t>
      </w:r>
      <w:r>
        <w:t>Volvo Body Builder Instructions 2026, Section 7 — observed: 19 May 2026</w:t>
      </w:r>
    </w:p>
    <w:p>
      <w:pPr>
        <w:pStyle w:val="Heading2"/>
      </w:pPr>
      <w:r>
        <w:rPr>
          <w:color w:val="2E6EA6"/>
        </w:rPr>
        <w:t>6. Class 3 Fuel — Additional Structural Considerations</w:t>
      </w:r>
    </w:p>
    <w:p>
      <w:r>
        <w:t>AS 2809.2 (Flammable liquids) and the ADG Code 7th Edition impose requirements beyond structural ones:</w:t>
      </w:r>
    </w:p>
    <w:p>
      <w:pPr>
        <w:pStyle w:val="ListBullet"/>
      </w:pPr>
      <w:r>
        <w:t>The tank must be earthed and bonded to the chassis — affects saddle/mounting interface design</w:t>
      </w:r>
    </w:p>
    <w:p>
      <w:pPr>
        <w:pStyle w:val="ListBullet"/>
      </w:pPr>
      <w:r>
        <w:t>Tank shell inspection access must not be obstructed by cross member placement</w:t>
      </w:r>
    </w:p>
    <w:p>
      <w:pPr>
        <w:pStyle w:val="ListBullet"/>
      </w:pPr>
      <w:r>
        <w:t>Subframe must not restrict access to chassis components requiring maintenance (per Volvo BBI)</w:t>
      </w:r>
    </w:p>
    <w:p>
      <w:pPr>
        <w:pStyle w:val="Heading2"/>
      </w:pPr>
      <w:r>
        <w:rPr>
          <w:color w:val="2E6EA6"/>
        </w:rPr>
        <w:t>7. Key Assumption</w:t>
      </w:r>
    </w:p>
    <w:p>
      <w:r>
        <w:t>This assessment is based on a standard rigid FM chassis without a tag axle or pusher axle. If the FM spec includes a tag or pusher, axle load distribution will change and cross member placement must be recalculated against the revised load model.</w:t>
      </w:r>
    </w:p>
    <w:p>
      <w:pPr>
        <w:pStyle w:val="Heading2"/>
      </w:pPr>
      <w:r>
        <w:rPr>
          <w:color w:val="2E6EA6"/>
        </w:rPr>
        <w:t>Summary</w:t>
      </w:r>
    </w:p>
    <w:tbl>
      <w:tblPr>
        <w:tblStyle w:val="TableGrid"/>
        <w:tblW w:type="auto" w:w="0"/>
        <w:tblLook w:firstColumn="1" w:firstRow="1" w:lastColumn="0" w:lastRow="0" w:noHBand="0" w:noVBand="1" w:val="04A0"/>
      </w:tblPr>
      <w:tblGrid>
        <w:gridCol w:w="4320"/>
        <w:gridCol w:w="4320"/>
      </w:tblGrid>
      <w:tr>
        <w:tc>
          <w:tcPr>
            <w:tcW w:type="dxa" w:w="4320"/>
            <w:shd w:fill="1F3A5F" w:color="auto" w:val="clear"/>
          </w:tcPr>
          <w:p>
            <w:r>
              <w:rPr>
                <w:b/>
                <w:color w:val="FFFFFF"/>
              </w:rPr>
              <w:t>Question</w:t>
            </w:r>
          </w:p>
        </w:tc>
        <w:tc>
          <w:tcPr>
            <w:tcW w:type="dxa" w:w="4320"/>
            <w:shd w:fill="1F3A5F" w:color="auto" w:val="clear"/>
          </w:tcPr>
          <w:p>
            <w:r>
              <w:rPr>
                <w:b/>
                <w:color w:val="FFFFFF"/>
              </w:rPr>
              <w:t>Answer</w:t>
            </w:r>
          </w:p>
        </w:tc>
      </w:tr>
      <w:tr>
        <w:tc>
          <w:tcPr>
            <w:tcW w:type="dxa" w:w="4320"/>
          </w:tcPr>
          <w:p>
            <w:r>
              <w:t>Subframe required?</w:t>
            </w:r>
          </w:p>
        </w:tc>
        <w:tc>
          <w:tcPr>
            <w:tcW w:type="dxa" w:w="4320"/>
          </w:tcPr>
          <w:p>
            <w:r>
              <w:t>YES — mandatory</w:t>
            </w:r>
          </w:p>
        </w:tc>
      </w:tr>
      <w:tr>
        <w:tc>
          <w:tcPr>
            <w:tcW w:type="dxa" w:w="4320"/>
          </w:tcPr>
          <w:p>
            <w:r>
              <w:t>Cross members required?</w:t>
            </w:r>
          </w:p>
        </w:tc>
        <w:tc>
          <w:tcPr>
            <w:tcW w:type="dxa" w:w="4320"/>
          </w:tcPr>
          <w:p>
            <w:r>
              <w:t>YES — mandatory</w:t>
            </w:r>
          </w:p>
        </w:tc>
      </w:tr>
      <w:tr>
        <w:tc>
          <w:tcPr>
            <w:tcW w:type="dxa" w:w="4320"/>
          </w:tcPr>
          <w:p>
            <w:r>
              <w:t>Cross member material</w:t>
            </w:r>
          </w:p>
        </w:tc>
        <w:tc>
          <w:tcPr>
            <w:tcW w:type="dxa" w:w="4320"/>
          </w:tcPr>
          <w:p>
            <w:r>
              <w:t>Grade 350 RHS — AS/NZS 1163</w:t>
            </w:r>
          </w:p>
        </w:tc>
      </w:tr>
      <w:tr>
        <w:tc>
          <w:tcPr>
            <w:tcW w:type="dxa" w:w="4320"/>
          </w:tcPr>
          <w:p>
            <w:r>
              <w:t>Subframe rail material</w:t>
            </w:r>
          </w:p>
        </w:tc>
        <w:tc>
          <w:tcPr>
            <w:tcW w:type="dxa" w:w="4320"/>
          </w:tcPr>
          <w:p>
            <w:r>
              <w:t>Grade 350 C-channel or RHS — AS/NZS 3678 / 1163</w:t>
            </w:r>
          </w:p>
        </w:tc>
      </w:tr>
      <w:tr>
        <w:tc>
          <w:tcPr>
            <w:tcW w:type="dxa" w:w="4320"/>
          </w:tcPr>
          <w:p>
            <w:r>
              <w:t>Front mounting</w:t>
            </w:r>
          </w:p>
        </w:tc>
        <w:tc>
          <w:tcPr>
            <w:tcW w:type="dxa" w:w="4320"/>
          </w:tcPr>
          <w:p>
            <w:r>
              <w:t>Sliding / longitudinal movement must be permitted</w:t>
            </w:r>
          </w:p>
        </w:tc>
      </w:tr>
      <w:tr>
        <w:tc>
          <w:tcPr>
            <w:tcW w:type="dxa" w:w="4320"/>
          </w:tcPr>
          <w:p>
            <w:r>
              <w:t>Remaining mountings</w:t>
            </w:r>
          </w:p>
        </w:tc>
        <w:tc>
          <w:tcPr>
            <w:tcW w:type="dxa" w:w="4320"/>
          </w:tcPr>
          <w:p>
            <w:r>
              <w:t>Rigid — bolt through chassis rail web</w:t>
            </w:r>
          </w:p>
        </w:tc>
      </w:tr>
      <w:tr>
        <w:tc>
          <w:tcPr>
            <w:tcW w:type="dxa" w:w="4320"/>
          </w:tcPr>
          <w:p>
            <w:r>
              <w:t>Front end taper</w:t>
            </w:r>
          </w:p>
        </w:tc>
        <w:tc>
          <w:tcPr>
            <w:tcW w:type="dxa" w:w="4320"/>
          </w:tcPr>
          <w:p>
            <w:r>
              <w:t>25° taper, chamfered leading edge</w:t>
            </w:r>
          </w:p>
        </w:tc>
      </w:tr>
    </w:tbl>
    <w:p/>
    <w:p>
      <w:r>
        <w:rPr>
          <w:i/>
        </w:rPr>
        <w:t>Harlow — Heavy Vehicle Body Engineer, The Works | 19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