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Engineering Assessment — Subframe Requirement</w:t>
      </w:r>
    </w:p>
    <w:p>
      <w:r>
        <w:rPr>
          <w:b/>
        </w:rPr>
        <w:t xml:space="preserve">Build: </w:t>
      </w:r>
      <w:r>
        <w:t>Rigid tanker + cabinet, Class 3 fuels, Isuzu FSD 140-240 AM R56</w:t>
      </w:r>
    </w:p>
    <w:p>
      <w:r>
        <w:rPr>
          <w:b/>
        </w:rPr>
        <w:t xml:space="preserve">Prepared by: </w:t>
      </w:r>
      <w:r>
        <w:t>Harlow — Heavy Vehicle Body Engineer, The Works</w:t>
      </w:r>
    </w:p>
    <w:p>
      <w:r>
        <w:rPr>
          <w:b/>
        </w:rPr>
        <w:t xml:space="preserve">Date: </w:t>
      </w:r>
      <w:r>
        <w:t>19 May 2026</w:t>
      </w:r>
    </w:p>
    <w:p>
      <w:r>
        <w:rPr>
          <w:b/>
        </w:rPr>
        <w:t xml:space="preserve">Sources: </w:t>
      </w:r>
      <w:r>
        <w:t>Isuzu Body Builder Guide 2018; Isuzu FSD 140/120-240 Spec Guide; VSB 06 Section J; AS 2809.2:2020; AS/NZS 3678; AS/NZS 1163</w:t>
      </w:r>
    </w:p>
    <w:p/>
    <w:p>
      <w:pPr>
        <w:pStyle w:val="Heading2"/>
      </w:pPr>
      <w:r>
        <w:rPr>
          <w:color w:val="2E6EA6"/>
        </w:rPr>
        <w:t>Owner-Provided Data</w:t>
      </w:r>
    </w:p>
    <w:p>
      <w:pPr>
        <w:pStyle w:val="ListBullet"/>
      </w:pPr>
      <w:r>
        <w:t>Tank + liquid (nominal): 7,000 kg — owner-provided, 19 May 2026</w:t>
      </w:r>
    </w:p>
    <w:p>
      <w:pPr>
        <w:pStyle w:val="ListBullet"/>
      </w:pPr>
      <w:r>
        <w:t>Cabinet (between tank and cabin): ~750 kg — owner-provided, 19 May 2026</w:t>
      </w:r>
    </w:p>
    <w:p>
      <w:pPr>
        <w:pStyle w:val="Heading2"/>
      </w:pPr>
      <w:r>
        <w:rPr>
          <w:color w:val="2E6EA6"/>
        </w:rPr>
        <w:t>1. Chassis Weight Budget — First Check</w:t>
      </w:r>
    </w:p>
    <w:p>
      <w:r>
        <w:t>Before subframe design, payload margin must be confirmed.</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rPr>
              <w:t>Item</w:t>
            </w:r>
          </w:p>
        </w:tc>
        <w:tc>
          <w:tcPr>
            <w:tcW w:type="dxa" w:w="2880"/>
            <w:shd w:fill="1F3A5F" w:color="auto" w:val="clear"/>
          </w:tcPr>
          <w:p>
            <w:r>
              <w:rPr>
                <w:b/>
                <w:color w:val="FFFFFF"/>
              </w:rPr>
              <w:t>Weight</w:t>
            </w:r>
          </w:p>
        </w:tc>
        <w:tc>
          <w:tcPr>
            <w:tcW w:type="dxa" w:w="2880"/>
            <w:shd w:fill="1F3A5F" w:color="auto" w:val="clear"/>
          </w:tcPr>
          <w:p>
            <w:r>
              <w:rPr>
                <w:b/>
                <w:color w:val="FFFFFF"/>
              </w:rPr>
              <w:t>Source</w:t>
            </w:r>
          </w:p>
        </w:tc>
      </w:tr>
      <w:tr>
        <w:tc>
          <w:tcPr>
            <w:tcW w:type="dxa" w:w="2880"/>
          </w:tcPr>
          <w:p>
            <w:r>
              <w:t>GVM</w:t>
            </w:r>
          </w:p>
        </w:tc>
        <w:tc>
          <w:tcPr>
            <w:tcW w:type="dxa" w:w="2880"/>
          </w:tcPr>
          <w:p>
            <w:r>
              <w:t>14,000 kg</w:t>
            </w:r>
          </w:p>
        </w:tc>
        <w:tc>
          <w:tcPr>
            <w:tcW w:type="dxa" w:w="2880"/>
          </w:tcPr>
          <w:p>
            <w:r>
              <w:t>Isuzu FSD 140/120-240 spec — observed 19 May 2026</w:t>
            </w:r>
          </w:p>
        </w:tc>
      </w:tr>
      <w:tr>
        <w:tc>
          <w:tcPr>
            <w:tcW w:type="dxa" w:w="2880"/>
          </w:tcPr>
          <w:p>
            <w:r>
              <w:t>Front axle limit</w:t>
            </w:r>
          </w:p>
        </w:tc>
        <w:tc>
          <w:tcPr>
            <w:tcW w:type="dxa" w:w="2880"/>
          </w:tcPr>
          <w:p>
            <w:r>
              <w:t>5,000 kg</w:t>
            </w:r>
          </w:p>
        </w:tc>
        <w:tc>
          <w:tcPr>
            <w:tcW w:type="dxa" w:w="2880"/>
          </w:tcPr>
          <w:p>
            <w:r>
              <w:t>Isuzu FSD 140/120-240 spec — observed 19 May 2026</w:t>
            </w:r>
          </w:p>
        </w:tc>
      </w:tr>
      <w:tr>
        <w:tc>
          <w:tcPr>
            <w:tcW w:type="dxa" w:w="2880"/>
          </w:tcPr>
          <w:p>
            <w:r>
              <w:t>Rear axle limit</w:t>
            </w:r>
          </w:p>
        </w:tc>
        <w:tc>
          <w:tcPr>
            <w:tcW w:type="dxa" w:w="2880"/>
          </w:tcPr>
          <w:p>
            <w:r>
              <w:t>9,000 kg</w:t>
            </w:r>
          </w:p>
        </w:tc>
        <w:tc>
          <w:tcPr>
            <w:tcW w:type="dxa" w:w="2880"/>
          </w:tcPr>
          <w:p>
            <w:r>
              <w:t>Isuzu FSD 140/120-240 spec — observed 19 May 2026</w:t>
            </w:r>
          </w:p>
        </w:tc>
      </w:tr>
      <w:tr>
        <w:tc>
          <w:tcPr>
            <w:tcW w:type="dxa" w:w="2880"/>
          </w:tcPr>
          <w:p>
            <w:r>
              <w:t>Cab chassis tare</w:t>
            </w:r>
          </w:p>
        </w:tc>
        <w:tc>
          <w:tcPr>
            <w:tcW w:type="dxa" w:w="2880"/>
          </w:tcPr>
          <w:p>
            <w:r>
              <w:t>~4,071 kg</w:t>
            </w:r>
          </w:p>
        </w:tc>
        <w:tc>
          <w:tcPr>
            <w:tcW w:type="dxa" w:w="2880"/>
          </w:tcPr>
          <w:p>
            <w:r>
              <w:t>Isuzu FSD 140/120-240 spec — observed 19 May 2026</w:t>
            </w:r>
          </w:p>
        </w:tc>
      </w:tr>
      <w:tr>
        <w:tc>
          <w:tcPr>
            <w:tcW w:type="dxa" w:w="2880"/>
          </w:tcPr>
          <w:p>
            <w:r>
              <w:t>Available payload</w:t>
            </w:r>
          </w:p>
        </w:tc>
        <w:tc>
          <w:tcPr>
            <w:tcW w:type="dxa" w:w="2880"/>
          </w:tcPr>
          <w:p>
            <w:r>
              <w:t>~9,929 kg</w:t>
            </w:r>
          </w:p>
        </w:tc>
        <w:tc>
          <w:tcPr>
            <w:tcW w:type="dxa" w:w="2880"/>
          </w:tcPr>
          <w:p>
            <w:r>
              <w:t>Derived: GVM minus tare</w:t>
            </w:r>
          </w:p>
        </w:tc>
      </w:tr>
      <w:tr>
        <w:tc>
          <w:tcPr>
            <w:tcW w:type="dxa" w:w="2880"/>
          </w:tcPr>
          <w:p>
            <w:r>
              <w:t>Tank + liquid</w:t>
            </w:r>
          </w:p>
        </w:tc>
        <w:tc>
          <w:tcPr>
            <w:tcW w:type="dxa" w:w="2880"/>
          </w:tcPr>
          <w:p>
            <w:r>
              <w:t>7,000 kg</w:t>
            </w:r>
          </w:p>
        </w:tc>
        <w:tc>
          <w:tcPr>
            <w:tcW w:type="dxa" w:w="2880"/>
          </w:tcPr>
          <w:p>
            <w:r>
              <w:t>Owner-provided, 19 May 2026</w:t>
            </w:r>
          </w:p>
        </w:tc>
      </w:tr>
      <w:tr>
        <w:tc>
          <w:tcPr>
            <w:tcW w:type="dxa" w:w="2880"/>
          </w:tcPr>
          <w:p>
            <w:r>
              <w:t>Cabinet</w:t>
            </w:r>
          </w:p>
        </w:tc>
        <w:tc>
          <w:tcPr>
            <w:tcW w:type="dxa" w:w="2880"/>
          </w:tcPr>
          <w:p>
            <w:r>
              <w:t>~750 kg</w:t>
            </w:r>
          </w:p>
        </w:tc>
        <w:tc>
          <w:tcPr>
            <w:tcW w:type="dxa" w:w="2880"/>
          </w:tcPr>
          <w:p>
            <w:r>
              <w:t>Owner-provided, 19 May 2026</w:t>
            </w:r>
          </w:p>
        </w:tc>
      </w:tr>
      <w:tr>
        <w:tc>
          <w:tcPr>
            <w:tcW w:type="dxa" w:w="2880"/>
          </w:tcPr>
          <w:p>
            <w:r>
              <w:t>Subframe estimate</w:t>
            </w:r>
          </w:p>
        </w:tc>
        <w:tc>
          <w:tcPr>
            <w:tcW w:type="dxa" w:w="2880"/>
          </w:tcPr>
          <w:p>
            <w:r>
              <w:t>~300–400 kg</w:t>
            </w:r>
          </w:p>
        </w:tc>
        <w:tc>
          <w:tcPr>
            <w:tcW w:type="dxa" w:w="2880"/>
          </w:tcPr>
          <w:p>
            <w:r>
              <w:t>Engineering estimate</w:t>
            </w:r>
          </w:p>
        </w:tc>
      </w:tr>
      <w:tr>
        <w:tc>
          <w:tcPr>
            <w:tcW w:type="dxa" w:w="2880"/>
          </w:tcPr>
          <w:p>
            <w:r>
              <w:t>Total body load</w:t>
            </w:r>
          </w:p>
        </w:tc>
        <w:tc>
          <w:tcPr>
            <w:tcW w:type="dxa" w:w="2880"/>
          </w:tcPr>
          <w:p>
            <w:r>
              <w:t>~8,050–8,150 kg</w:t>
            </w:r>
          </w:p>
        </w:tc>
        <w:tc>
          <w:tcPr>
            <w:tcW w:type="dxa" w:w="2880"/>
          </w:tcPr>
          <w:p>
            <w:r>
              <w:t>—</w:t>
            </w:r>
          </w:p>
        </w:tc>
      </w:tr>
      <w:tr>
        <w:tc>
          <w:tcPr>
            <w:tcW w:type="dxa" w:w="2880"/>
          </w:tcPr>
          <w:p>
            <w:r>
              <w:t>Remaining margin</w:t>
            </w:r>
          </w:p>
        </w:tc>
        <w:tc>
          <w:tcPr>
            <w:tcW w:type="dxa" w:w="2880"/>
          </w:tcPr>
          <w:p>
            <w:r>
              <w:t>~1,780–1,880 kg</w:t>
            </w:r>
          </w:p>
        </w:tc>
        <w:tc>
          <w:tcPr>
            <w:tcW w:type="dxa" w:w="2880"/>
          </w:tcPr>
          <w:p>
            <w:r>
              <w:t>—</w:t>
            </w:r>
          </w:p>
        </w:tc>
      </w:tr>
    </w:tbl>
    <w:p/>
    <w:p>
      <w:r>
        <w:t>Total laden weight is within GVM. Payload budget is not the constraint.</w:t>
      </w:r>
    </w:p>
    <w:p>
      <w:r>
        <w:rPr>
          <w:b/>
        </w:rPr>
        <w:t>However — axle load distribution IS the constraint to watch. See Section 6.</w:t>
      </w:r>
    </w:p>
    <w:p>
      <w:pPr>
        <w:pStyle w:val="Heading2"/>
      </w:pPr>
      <w:r>
        <w:rPr>
          <w:color w:val="2E6EA6"/>
        </w:rPr>
        <w:t>2. Is a Subframe Required?</w:t>
      </w:r>
    </w:p>
    <w:p>
      <w:r>
        <w:rPr>
          <w:b/>
        </w:rPr>
        <w:t>Yes — mandatory.</w:t>
      </w:r>
    </w:p>
    <w:p>
      <w:r>
        <w:t>Same engineering reasoning as any rigid tanker build: the Isuzu FSD chassis rails are designed for controlled longitudinal flex. The tank shell and cabinet are rigid bodies. The subframe is the engineered interface that manages load transfer and prevents torsional stress from being transferred directly into the chassis rails or the bodies. For this two-body build, the subframe carries bodies with different load characteristics and different CoG heights — a properly designed subframe is the only way to manage this cleanly.</w:t>
      </w:r>
    </w:p>
    <w:p>
      <w:r>
        <w:rPr>
          <w:b/>
        </w:rPr>
        <w:t xml:space="preserve">Source: </w:t>
      </w:r>
      <w:r>
        <w:t>Isuzu Body Builder Guide 2018 — observed: 19 May 2026</w:t>
      </w:r>
    </w:p>
    <w:p>
      <w:pPr>
        <w:pStyle w:val="Heading2"/>
      </w:pPr>
      <w:r>
        <w:rPr>
          <w:color w:val="2E6EA6"/>
        </w:rPr>
        <w:t>3. Are Cross Members Required?</w:t>
      </w:r>
    </w:p>
    <w:p>
      <w:r>
        <w:rPr>
          <w:b/>
        </w:rPr>
        <w:t>Yes — mandatory.</w:t>
      </w:r>
    </w:p>
    <w:p>
      <w:r>
        <w:t>Cross members are required to prevent lateral movement and provide torsional rigidity. For a two-body build, cross members also provide the structural transition point between the cabinet and tank sections of the subframe.</w:t>
      </w:r>
    </w:p>
    <w:p>
      <w:r>
        <w:t>Place cross members at:</w:t>
      </w:r>
    </w:p>
    <w:p>
      <w:pPr>
        <w:pStyle w:val="ListBullet"/>
      </w:pPr>
      <w:r>
        <w:t>Front and rear of cabinet</w:t>
      </w:r>
    </w:p>
    <w:p>
      <w:pPr>
        <w:pStyle w:val="ListBullet"/>
      </w:pPr>
      <w:r>
        <w:t>Transition point between cabinet and tank</w:t>
      </w:r>
    </w:p>
    <w:p>
      <w:pPr>
        <w:pStyle w:val="ListBullet"/>
      </w:pPr>
      <w:r>
        <w:t>At each tank baffle position</w:t>
      </w:r>
    </w:p>
    <w:p>
      <w:pPr>
        <w:pStyle w:val="ListBullet"/>
      </w:pPr>
      <w:r>
        <w:t>At each tank saddle/cradle</w:t>
      </w:r>
    </w:p>
    <w:p>
      <w:pPr>
        <w:pStyle w:val="ListBullet"/>
      </w:pPr>
      <w:r>
        <w:t>Rear end of tank</w:t>
      </w:r>
    </w:p>
    <w:p>
      <w:pPr>
        <w:pStyle w:val="ListBullet"/>
      </w:pPr>
      <w:r>
        <w:t>Maximum unsupported span: 900–1,200 mm</w:t>
      </w:r>
    </w:p>
    <w:p>
      <w:r>
        <w:rPr>
          <w:b/>
        </w:rPr>
        <w:t xml:space="preserve">Source: </w:t>
      </w:r>
      <w:r>
        <w:t>Isuzu Body Builder Guide 2018 — observed: 19 May 2026</w:t>
      </w:r>
    </w:p>
    <w:p>
      <w:pPr>
        <w:pStyle w:val="Heading2"/>
      </w:pPr>
      <w:r>
        <w:rPr>
          <w:color w:val="2E6EA6"/>
        </w:rPr>
        <w:t>4. Cross Member Material</w:t>
      </w:r>
    </w:p>
    <w:p>
      <w:r>
        <w:rPr>
          <w:b/>
        </w:rPr>
        <w:t>Grade 350 RHS to AS/NZS 1163.</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rPr>
              <w:t>Component</w:t>
            </w:r>
          </w:p>
        </w:tc>
        <w:tc>
          <w:tcPr>
            <w:tcW w:type="dxa" w:w="4320"/>
            <w:shd w:fill="1F3A5F" w:color="auto" w:val="clear"/>
          </w:tcPr>
          <w:p>
            <w:r>
              <w:rPr>
                <w:b/>
                <w:color w:val="FFFFFF"/>
              </w:rPr>
              <w:t>Specification</w:t>
            </w:r>
          </w:p>
        </w:tc>
      </w:tr>
      <w:tr>
        <w:tc>
          <w:tcPr>
            <w:tcW w:type="dxa" w:w="4320"/>
          </w:tcPr>
          <w:p>
            <w:r>
              <w:t>Cross members</w:t>
            </w:r>
          </w:p>
        </w:tc>
        <w:tc>
          <w:tcPr>
            <w:tcW w:type="dxa" w:w="4320"/>
          </w:tcPr>
          <w:p>
            <w:r>
              <w:t>Grade 350 RHS — AS/NZS 1163</w:t>
            </w:r>
          </w:p>
        </w:tc>
      </w:tr>
      <w:tr>
        <w:tc>
          <w:tcPr>
            <w:tcW w:type="dxa" w:w="4320"/>
          </w:tcPr>
          <w:p>
            <w:r>
              <w:t>Subframe rails</w:t>
            </w:r>
          </w:p>
        </w:tc>
        <w:tc>
          <w:tcPr>
            <w:tcW w:type="dxa" w:w="4320"/>
          </w:tcPr>
          <w:p>
            <w:r>
              <w:t>Grade 350 C-channel or RHS — AS/NZS 3678 / 1163</w:t>
            </w:r>
          </w:p>
        </w:tc>
      </w:tr>
      <w:tr>
        <w:tc>
          <w:tcPr>
            <w:tcW w:type="dxa" w:w="4320"/>
          </w:tcPr>
          <w:p>
            <w:r>
              <w:t>Minimum yield strength</w:t>
            </w:r>
          </w:p>
        </w:tc>
        <w:tc>
          <w:tcPr>
            <w:tcW w:type="dxa" w:w="4320"/>
          </w:tcPr>
          <w:p>
            <w:r>
              <w:t>360 MPa</w:t>
            </w:r>
          </w:p>
        </w:tc>
      </w:tr>
    </w:tbl>
    <w:p/>
    <w:p>
      <w:r>
        <w:rPr>
          <w:b/>
        </w:rPr>
        <w:t xml:space="preserve">Do not use Grade 250 mild steel. </w:t>
      </w:r>
      <w:r>
        <w:t>The dynamic loading from liquid surge combined with the cabinet overhang load makes Grade 250 inadequate.</w:t>
      </w:r>
    </w:p>
    <w:p>
      <w:r>
        <w:rPr>
          <w:b/>
        </w:rPr>
        <w:t xml:space="preserve">Source: </w:t>
      </w:r>
      <w:r>
        <w:t>AS/NZS 3678; AS/NZS 1163 — observed: 19 May 2026</w:t>
      </w:r>
    </w:p>
    <w:p>
      <w:pPr>
        <w:pStyle w:val="Heading2"/>
      </w:pPr>
      <w:r>
        <w:rPr>
          <w:color w:val="2E6EA6"/>
        </w:rPr>
        <w:t>5. Isuzu-Specific Mounting Rules — Critical Differences from Volvo</w:t>
      </w:r>
    </w:p>
    <w:p>
      <w:r>
        <w:rPr>
          <w:b/>
        </w:rPr>
        <w:t>HARD RULE: The subframe must be bolted to the chassis frame. It must NOT be welded.</w:t>
      </w:r>
    </w:p>
    <w:p>
      <w:r>
        <w:t>Welding the subframe to the Isuzu chassis frame voids the chassis warranty and violates the BBI. All attachment is via bolted brackets through the chassis web.</w:t>
      </w:r>
    </w:p>
    <w:p>
      <w:r>
        <w:t>Additional Isuzu-specific requirements:</w:t>
      </w:r>
    </w:p>
    <w:p>
      <w:pPr>
        <w:pStyle w:val="ListBullet"/>
      </w:pPr>
      <w:r>
        <w:t>Subframe mounted as close to the cab as possible — no gap between cab and subframe start</w:t>
      </w:r>
    </w:p>
    <w:p>
      <w:pPr>
        <w:pStyle w:val="ListBullet"/>
      </w:pPr>
      <w:r>
        <w:t>Subframe contoured to match the chassis frame profile — not a flat-profile subframe on a kinked chassis</w:t>
      </w:r>
    </w:p>
    <w:p>
      <w:pPr>
        <w:pStyle w:val="ListBullet"/>
      </w:pPr>
      <w:r>
        <w:t>Bolts/brackets at least 50 mm behind the front kick-up point of the chassis rail</w:t>
      </w:r>
    </w:p>
    <w:p>
      <w:pPr>
        <w:pStyle w:val="ListBullet"/>
      </w:pPr>
      <w:r>
        <w:t>Do not attach within 200 mm of any chassis cross member or bend</w:t>
      </w:r>
    </w:p>
    <w:p>
      <w:pPr>
        <w:pStyle w:val="ListBullet"/>
      </w:pPr>
      <w:r>
        <w:t>U-bolts: install reinforcement blocks inside the chassis rail to prevent flange distortion</w:t>
      </w:r>
    </w:p>
    <w:p>
      <w:pPr>
        <w:pStyle w:val="ListBullet"/>
      </w:pPr>
      <w:r>
        <w:t>Front two mountings: allow longitudinal movement — use slotted holes, do not rigidly fix the front</w:t>
      </w:r>
    </w:p>
    <w:p>
      <w:pPr>
        <w:pStyle w:val="ListBullet"/>
      </w:pPr>
      <w:r>
        <w:t>Subframe front leading edge: taper 25–30°, chamfered on the bottom face</w:t>
      </w:r>
    </w:p>
    <w:p>
      <w:r>
        <w:rPr>
          <w:b/>
        </w:rPr>
        <w:t xml:space="preserve">Source: </w:t>
      </w:r>
      <w:r>
        <w:t>Isuzu Body Builder Guide 2018; VSB 06 Section J — observed: 19 May 2026</w:t>
      </w:r>
    </w:p>
    <w:p>
      <w:pPr>
        <w:pStyle w:val="Heading2"/>
      </w:pPr>
      <w:r>
        <w:rPr>
          <w:color w:val="2E6EA6"/>
        </w:rPr>
        <w:t>6. Two-Body Configuration — Axle Load Flag</w:t>
      </w:r>
    </w:p>
    <w:p>
      <w:r>
        <w:rPr>
          <w:b/>
        </w:rPr>
        <w:t>This is the key engineering risk in this build. A full axle load calculation is required before the subframe is detailed.</w:t>
      </w:r>
    </w:p>
    <w:p>
      <w:r>
        <w:t>The cabinet sits between the tank and the cab. Depending on its exact longitudinal position, 750 kg of cabinet weight forward of the tank's CoG can materially shift the overall body CoG toward the front axle. The front axle limit is 5,000 kg. The cab chassis already contributes ~2,564 kg to the front axle at tare — leaving only ~2,436 kg of front axle capacity for body load. If the cabinet pushes the front axle over 5,000 kg laden, the design must be revised.</w:t>
      </w:r>
    </w:p>
    <w:p>
      <w:r>
        <w:t>Required before detailing the subframe:</w:t>
      </w:r>
    </w:p>
    <w:p>
      <w:pPr>
        <w:pStyle w:val="ListBullet"/>
      </w:pPr>
      <w:r>
        <w:t>Confirm wheelbase (R56 dimension in mm) from Isuzu spec sheet or compliance plate</w:t>
      </w:r>
    </w:p>
    <w:p>
      <w:pPr>
        <w:pStyle w:val="ListBullet"/>
      </w:pPr>
      <w:r>
        <w:t>Confirm cabinet CoG position — distance from front axle centreline</w:t>
      </w:r>
    </w:p>
    <w:p>
      <w:pPr>
        <w:pStyle w:val="ListBullet"/>
      </w:pPr>
      <w:r>
        <w:t>Confirm tank CoG position when fully laden</w:t>
      </w:r>
    </w:p>
    <w:p>
      <w:pPr>
        <w:pStyle w:val="ListBullet"/>
      </w:pPr>
      <w:r>
        <w:t>Run axle load calculation — front and rear laden weights must be within 5,000 kg and 9,000 kg respectively</w:t>
      </w:r>
    </w:p>
    <w:p>
      <w:r>
        <w:rPr>
          <w:b/>
        </w:rPr>
        <w:t xml:space="preserve">Source: </w:t>
      </w:r>
      <w:r>
        <w:t>Isuzu FSD 140/120-240 spec, isuzu.com.au — observed: 19 May 2026; VSB 06 Section J — observed: 19 May 2026</w:t>
      </w:r>
    </w:p>
    <w:p>
      <w:pPr>
        <w:pStyle w:val="Heading2"/>
      </w:pPr>
      <w:r>
        <w:rPr>
          <w:color w:val="2E6EA6"/>
        </w:rPr>
        <w:t>7. Class 3 Fuel — Additional Considerations</w:t>
      </w:r>
    </w:p>
    <w:p>
      <w:pPr>
        <w:pStyle w:val="ListBullet"/>
      </w:pPr>
      <w:r>
        <w:t>Tank earthed and bonded to chassis — saddle/mounting interface must accommodate bonding strap connection points</w:t>
      </w:r>
    </w:p>
    <w:p>
      <w:pPr>
        <w:pStyle w:val="ListBullet"/>
      </w:pPr>
      <w:r>
        <w:t>Tank shell inspection access must not be obstructed by cross member placement</w:t>
      </w:r>
    </w:p>
    <w:p>
      <w:pPr>
        <w:pStyle w:val="ListBullet"/>
      </w:pPr>
      <w:r>
        <w:t>ADG Code 7th Edition and AS 2809.2 compliance required</w:t>
      </w:r>
    </w:p>
    <w:p>
      <w:pPr>
        <w:pStyle w:val="ListBullet"/>
      </w:pPr>
      <w:r>
        <w:t>Design approval required via WorkSafe (Vic) or equivalent state authority before manufacture</w:t>
      </w:r>
    </w:p>
    <w:p>
      <w:pPr>
        <w:pStyle w:val="Heading2"/>
      </w:pPr>
      <w:r>
        <w:rPr>
          <w:color w:val="2E6EA6"/>
        </w:rPr>
        <w:t>8. Key Assumption</w:t>
      </w:r>
    </w:p>
    <w:p>
      <w:r>
        <w:t>The R56 wheelbase has not been confirmed from a primary source in this session — PDF spec sheets were inaccessible at time of research. The axle load calculation in Section 6 requires the confirmed wheelbase in mm. Obtain this from the Isuzu dealer or the chassis compliance plate before proceeding with detailed design.</w:t>
      </w:r>
    </w:p>
    <w:p>
      <w:pPr>
        <w:pStyle w:val="Heading2"/>
      </w:pPr>
      <w:r>
        <w:rPr>
          <w:color w:val="2E6EA6"/>
        </w:rPr>
        <w:t>Summary</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rPr>
              <w:t>Question</w:t>
            </w:r>
          </w:p>
        </w:tc>
        <w:tc>
          <w:tcPr>
            <w:tcW w:type="dxa" w:w="4320"/>
            <w:shd w:fill="1F3A5F" w:color="auto" w:val="clear"/>
          </w:tcPr>
          <w:p>
            <w:r>
              <w:rPr>
                <w:b/>
                <w:color w:val="FFFFFF"/>
              </w:rPr>
              <w:t>Answer</w:t>
            </w:r>
          </w:p>
        </w:tc>
      </w:tr>
      <w:tr>
        <w:tc>
          <w:tcPr>
            <w:tcW w:type="dxa" w:w="4320"/>
          </w:tcPr>
          <w:p>
            <w:r>
              <w:t>Subframe required?</w:t>
            </w:r>
          </w:p>
        </w:tc>
        <w:tc>
          <w:tcPr>
            <w:tcW w:type="dxa" w:w="4320"/>
          </w:tcPr>
          <w:p>
            <w:r>
              <w:t>YES — mandatory</w:t>
            </w:r>
          </w:p>
        </w:tc>
      </w:tr>
      <w:tr>
        <w:tc>
          <w:tcPr>
            <w:tcW w:type="dxa" w:w="4320"/>
          </w:tcPr>
          <w:p>
            <w:r>
              <w:t>Cross members required?</w:t>
            </w:r>
          </w:p>
        </w:tc>
        <w:tc>
          <w:tcPr>
            <w:tcW w:type="dxa" w:w="4320"/>
          </w:tcPr>
          <w:p>
            <w:r>
              <w:t>YES — mandatory</w:t>
            </w:r>
          </w:p>
        </w:tc>
      </w:tr>
      <w:tr>
        <w:tc>
          <w:tcPr>
            <w:tcW w:type="dxa" w:w="4320"/>
          </w:tcPr>
          <w:p>
            <w:r>
              <w:t>Cross member material</w:t>
            </w:r>
          </w:p>
        </w:tc>
        <w:tc>
          <w:tcPr>
            <w:tcW w:type="dxa" w:w="4320"/>
          </w:tcPr>
          <w:p>
            <w:r>
              <w:t>Grade 350 RHS — AS/NZS 1163</w:t>
            </w:r>
          </w:p>
        </w:tc>
      </w:tr>
      <w:tr>
        <w:tc>
          <w:tcPr>
            <w:tcW w:type="dxa" w:w="4320"/>
          </w:tcPr>
          <w:p>
            <w:r>
              <w:t>Subframe rail material</w:t>
            </w:r>
          </w:p>
        </w:tc>
        <w:tc>
          <w:tcPr>
            <w:tcW w:type="dxa" w:w="4320"/>
          </w:tcPr>
          <w:p>
            <w:r>
              <w:t>Grade 350 C-channel or RHS — AS/NZS 3678 / 1163</w:t>
            </w:r>
          </w:p>
        </w:tc>
      </w:tr>
      <w:tr>
        <w:tc>
          <w:tcPr>
            <w:tcW w:type="dxa" w:w="4320"/>
          </w:tcPr>
          <w:p>
            <w:r>
              <w:t>Mounting method</w:t>
            </w:r>
          </w:p>
        </w:tc>
        <w:tc>
          <w:tcPr>
            <w:tcW w:type="dxa" w:w="4320"/>
          </w:tcPr>
          <w:p>
            <w:r>
              <w:t>BOLTED ONLY — no welding to Isuzu chassis (BBI hard rule)</w:t>
            </w:r>
          </w:p>
        </w:tc>
      </w:tr>
      <w:tr>
        <w:tc>
          <w:tcPr>
            <w:tcW w:type="dxa" w:w="4320"/>
          </w:tcPr>
          <w:p>
            <w:r>
              <w:t>Front mounting</w:t>
            </w:r>
          </w:p>
        </w:tc>
        <w:tc>
          <w:tcPr>
            <w:tcW w:type="dxa" w:w="4320"/>
          </w:tcPr>
          <w:p>
            <w:r>
              <w:t>Sliding / longitudinal movement must be permitted</w:t>
            </w:r>
          </w:p>
        </w:tc>
      </w:tr>
      <w:tr>
        <w:tc>
          <w:tcPr>
            <w:tcW w:type="dxa" w:w="4320"/>
          </w:tcPr>
          <w:p>
            <w:r>
              <w:t>Leading edge</w:t>
            </w:r>
          </w:p>
        </w:tc>
        <w:tc>
          <w:tcPr>
            <w:tcW w:type="dxa" w:w="4320"/>
          </w:tcPr>
          <w:p>
            <w:r>
              <w:t>Taper 25–30°, chamfered bottom face</w:t>
            </w:r>
          </w:p>
        </w:tc>
      </w:tr>
      <w:tr>
        <w:tc>
          <w:tcPr>
            <w:tcW w:type="dxa" w:w="4320"/>
          </w:tcPr>
          <w:p>
            <w:r>
              <w:t>GVM margin</w:t>
            </w:r>
          </w:p>
        </w:tc>
        <w:tc>
          <w:tcPr>
            <w:tcW w:type="dxa" w:w="4320"/>
          </w:tcPr>
          <w:p>
            <w:r>
              <w:t>Sufficient — ~1,780 kg remaining</w:t>
            </w:r>
          </w:p>
        </w:tc>
      </w:tr>
      <w:tr>
        <w:tc>
          <w:tcPr>
            <w:tcW w:type="dxa" w:w="4320"/>
          </w:tcPr>
          <w:p>
            <w:r>
              <w:t>Critical risk</w:t>
            </w:r>
          </w:p>
        </w:tc>
        <w:tc>
          <w:tcPr>
            <w:tcW w:type="dxa" w:w="4320"/>
          </w:tcPr>
          <w:p>
            <w:r>
              <w:t>Front axle load — calculate before detailing subframe</w:t>
            </w:r>
          </w:p>
        </w:tc>
      </w:tr>
      <w:tr>
        <w:tc>
          <w:tcPr>
            <w:tcW w:type="dxa" w:w="4320"/>
          </w:tcPr>
          <w:p>
            <w:r>
              <w:t>Blocker</w:t>
            </w:r>
          </w:p>
        </w:tc>
        <w:tc>
          <w:tcPr>
            <w:tcW w:type="dxa" w:w="4320"/>
          </w:tcPr>
          <w:p>
            <w:r>
              <w:t>Confirm R56 wheelbase (mm) from Isuzu dealer or compliance plate</w:t>
            </w:r>
          </w:p>
        </w:tc>
      </w:tr>
    </w:tbl>
    <w:p/>
    <w:p>
      <w:r>
        <w:rPr>
          <w:i/>
        </w:rPr>
        <w:t>Harlow — Heavy Vehicle Body Engineer, The Works | 19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