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W w:w="7008" w:type="dxa"/>
      </w:tblPr>
      <w:tblGrid>
        <w:gridCol w:w="10092"/>
      </w:tblGrid>
      <w:tr>
        <w:tc>
          <w:tcPr>
            <w:tcW w:type="dxa" w:w="10092"/>
            <w:shd w:val="clear" w:color="auto" w:fill="1F3864"/>
            <w:tcBorders>
              <w:top w:val="none" w:sz="4" w:color="FFFFFF"/>
              <w:left w:val="none" w:sz="4" w:color="FFFFFF"/>
              <w:bottom w:val="none" w:sz="4" w:color="FFFFFF"/>
              <w:right w:val="none" w:sz="4" w:color="FFFFFF"/>
            </w:tcBorders>
          </w:tcPr>
          <w:p>
            <w:pPr>
              <w:spacing w:before="120" w:after="40"/>
              <w:jc w:val="left"/>
            </w:pPr>
            <w:r>
              <w:rPr>
                <w:rFonts w:ascii="Calibri" w:hAnsi="Calibri"/>
                <w:b/>
                <w:color w:val="FFFFFF"/>
                <w:sz w:val="30"/>
              </w:rPr>
              <w:t>PTO &amp; PTO PUMP SPECIFICATION TOOLS</w:t>
            </w:r>
          </w:p>
          <w:p>
            <w:pPr>
              <w:spacing w:before="0" w:after="120"/>
              <w:jc w:val="left"/>
            </w:pPr>
            <w:r>
              <w:rPr>
                <w:rFonts w:ascii="Calibri" w:hAnsi="Calibri"/>
                <w:i/>
                <w:color w:val="BDD7EE"/>
                <w:sz w:val="20"/>
              </w:rPr>
              <w:t>Merit, Reasoning and Intended Use  —  Fuel Pumping Vehicles, All Makes and Models</w:t>
            </w:r>
          </w:p>
        </w:tc>
      </w:tr>
    </w:tbl>
    <w:p>
      <w:pPr>
        <w:spacing w:after="120"/>
      </w:pPr>
    </w:p>
    <w:p>
      <w:pPr>
        <w:spacing w:before="0" w:after="200"/>
      </w:pPr>
      <w:r>
        <w:rPr>
          <w:rFonts w:ascii="Calibri" w:hAnsi="Calibri"/>
          <w:b/>
          <w:i w:val="0"/>
          <w:color w:val="2E75B6"/>
          <w:sz w:val="18"/>
        </w:rPr>
        <w:t xml:space="preserve">Harlow  </w:t>
      </w:r>
      <w:r>
        <w:rPr>
          <w:rFonts w:ascii="Calibri" w:hAnsi="Calibri"/>
          <w:b w:val="0"/>
          <w:i w:val="0"/>
          <w:color w:val="5A5A5A"/>
          <w:sz w:val="18"/>
        </w:rPr>
        <w:t xml:space="preserve">Heavy Vehicle Body Engineer  |  </w:t>
      </w:r>
      <w:r>
        <w:rPr>
          <w:rFonts w:ascii="Calibri" w:hAnsi="Calibri"/>
          <w:b/>
          <w:i w:val="0"/>
          <w:color w:val="2E75B6"/>
          <w:sz w:val="18"/>
        </w:rPr>
        <w:t xml:space="preserve">Petra  </w:t>
      </w:r>
      <w:r>
        <w:rPr>
          <w:rFonts w:ascii="Calibri" w:hAnsi="Calibri"/>
          <w:b w:val="0"/>
          <w:i w:val="0"/>
          <w:color w:val="5A5A5A"/>
          <w:sz w:val="18"/>
        </w:rPr>
        <w:t>Process &amp; Instrumentation Engineer  |  The Works  |  June 2026</w:t>
      </w:r>
    </w:p>
    <w:tbl>
      <w:tblPr>
        <w:tblStyle w:val="TableGrid"/>
        <w:tblW w:type="auto" w:w="0"/>
        <w:jc w:val="left"/>
        <w:tblLook w:firstColumn="1" w:firstRow="1" w:lastColumn="0" w:lastRow="0" w:noHBand="0" w:noVBand="1" w:val="04A0"/>
      </w:tblPr>
      <w:tblGrid>
        <w:gridCol w:w="5046"/>
        <w:gridCol w:w="5046"/>
      </w:tblGrid>
      <w:tr>
        <w:tc>
          <w:tcPr>
            <w:tcW w:type="dxa" w:w="5046"/>
            <w:tcW w:w="3504" w:type="dxa"/>
            <w:tcBorders>
              <w:top w:val="none" w:sz="4" w:color="FFFFFF"/>
              <w:left w:val="none" w:sz="4" w:color="FFFFFF"/>
              <w:bottom w:val="none" w:sz="4" w:color="FFFFFF"/>
              <w:right w:val="none" w:sz="4" w:color="FFFFFF"/>
            </w:tcBorders>
          </w:tcPr>
          <w:p>
            <w:pPr>
              <w:spacing w:before="40" w:after="60"/>
              <w:jc w:val="left"/>
            </w:pPr>
            <w:r>
              <w:rPr>
                <w:rFonts w:ascii="Calibri" w:hAnsi="Calibri"/>
                <w:b/>
                <w:i w:val="0"/>
                <w:color w:val="1F3864"/>
                <w:sz w:val="21"/>
              </w:rPr>
              <w:t>The Problem Being Solved</w:t>
            </w:r>
          </w:p>
          <w:p>
            <w:pPr>
              <w:spacing w:before="0" w:after="100"/>
              <w:jc w:val="left"/>
            </w:pPr>
            <w:r>
              <w:rPr>
                <w:rFonts w:ascii="Calibri" w:hAnsi="Calibri"/>
                <w:b w:val="0"/>
                <w:i w:val="0"/>
                <w:color w:val="404040"/>
                <w:sz w:val="19"/>
              </w:rPr>
              <w:t>Specifying a PTO and pump system for a fuel tanker draws on three separate engineering disciplines simultaneously: drivetrain mechanics (PTO ratio, torque limits, OEM approval), fluid process engineering (pump sizing, NPSH, cavitation), and dangerous goods compliance (ADG Code, AS 2809, hazardous area rating). Young engineers typically hold depth in one of these areas and must reason across all three — often under time pressure and without a structured framework.</w:t>
            </w:r>
          </w:p>
          <w:p>
            <w:pPr>
              <w:spacing w:before="0" w:after="40"/>
              <w:jc w:val="left"/>
            </w:pPr>
            <w:r>
              <w:rPr>
                <w:rFonts w:ascii="Calibri" w:hAnsi="Calibri"/>
                <w:b w:val="0"/>
                <w:i w:val="0"/>
                <w:color w:val="404040"/>
                <w:sz w:val="19"/>
              </w:rPr>
              <w:t>The consequence of an error is not minor. An undersized pump cannot meet the customer's flow requirement. An overloaded PTO can void the transmission warranty or cause gearbox failure. A pump installed without an NPSH check will cavitate on petrol or LPG, destroying the pump and creating a dangerous goods incident. Getting this right the first time is not optional.</w:t>
            </w:r>
          </w:p>
          <w:p>
            <w:pPr>
              <w:spacing w:before="80" w:after="80"/>
              <w:pBdr>
                <w:bottom w:val="single" w:sz="4" w:color="BDD7EE"/>
              </w:pBdr>
            </w:pPr>
          </w:p>
          <w:p>
            <w:pPr>
              <w:spacing w:before="120" w:after="60"/>
              <w:jc w:val="left"/>
            </w:pPr>
            <w:r>
              <w:rPr>
                <w:rFonts w:ascii="Calibri" w:hAnsi="Calibri"/>
                <w:b/>
                <w:i w:val="0"/>
                <w:color w:val="1F3864"/>
                <w:sz w:val="21"/>
              </w:rPr>
              <w:t>What the Tools Provide</w:t>
            </w:r>
          </w:p>
          <w:p>
            <w:pPr>
              <w:spacing w:before="0" w:after="100"/>
              <w:jc w:val="left"/>
            </w:pPr>
            <w:r>
              <w:rPr>
                <w:rFonts w:ascii="Calibri" w:hAnsi="Calibri"/>
                <w:b w:val="0"/>
                <w:i w:val="0"/>
                <w:color w:val="404040"/>
                <w:sz w:val="19"/>
              </w:rPr>
              <w:t>Two complementary tools address this at different stages of a job:</w:t>
            </w:r>
          </w:p>
          <w:p>
            <w:pPr>
              <w:pStyle w:val="ListBullet"/>
              <w:spacing w:before="0" w:after="60"/>
              <w:ind w:left="227"/>
            </w:pPr>
            <w:r>
              <w:rPr>
                <w:rFonts w:ascii="Calibri" w:hAnsi="Calibri"/>
                <w:color w:val="404040"/>
                <w:sz w:val="19"/>
              </w:rPr>
              <w:t>The Full Specification Template (8 sheets) walks an engineer through every decision in sequence: vehicle data → application → performance requirements → PTO selection → pump selection → installation → sign-off. It is designed for new builds, first-time specifiers, or any job where a full auditable record is required.</w:t>
            </w:r>
          </w:p>
          <w:p>
            <w:pPr>
              <w:pStyle w:val="ListBullet"/>
              <w:spacing w:before="0" w:after="40"/>
              <w:ind w:left="227"/>
            </w:pPr>
            <w:r>
              <w:rPr>
                <w:rFonts w:ascii="Calibri" w:hAnsi="Calibri"/>
                <w:color w:val="404040"/>
                <w:sz w:val="19"/>
              </w:rPr>
              <w:t>The Quick Spec Sheet (single sheet) is for experienced engineers on familiar jobs. Enter ~15 values and all critical outputs calculate immediately: shaft power, minimum PTO power, NPSHA, NPSH pass/fail, required and actual PTO ratio, PTO output speed, torque check, pump displacement, and actual delivery flow.</w:t>
            </w:r>
          </w:p>
          <w:p>
            <w:pPr>
              <w:spacing w:before="80" w:after="80"/>
              <w:pBdr>
                <w:bottom w:val="single" w:sz="4" w:color="BDD7EE"/>
              </w:pBdr>
            </w:pPr>
          </w:p>
          <w:p>
            <w:pPr>
              <w:spacing w:before="120" w:after="60"/>
              <w:jc w:val="left"/>
            </w:pPr>
            <w:r>
              <w:rPr>
                <w:rFonts w:ascii="Calibri" w:hAnsi="Calibri"/>
                <w:b/>
                <w:i w:val="0"/>
                <w:color w:val="1F3864"/>
                <w:sz w:val="21"/>
              </w:rPr>
              <w:t>The Calculations — Why They Matter</w:t>
            </w:r>
          </w:p>
          <w:p>
            <w:pPr>
              <w:spacing w:before="0" w:after="100"/>
              <w:jc w:val="left"/>
            </w:pPr>
            <w:r>
              <w:rPr>
                <w:rFonts w:ascii="Calibri" w:hAnsi="Calibri"/>
                <w:b w:val="0"/>
                <w:i w:val="0"/>
                <w:color w:val="404040"/>
                <w:sz w:val="19"/>
              </w:rPr>
              <w:t>Every formula in the tool has a specific failure mode it is designed to prevent:</w:t>
            </w:r>
          </w:p>
          <w:tbl>
            <w:tblPr>
              <w:tblStyle w:val="TableGrid"/>
              <w:tblW w:type="auto" w:w="0"/>
              <w:jc w:val="left"/>
              <w:tblLook w:firstColumn="1" w:firstRow="1" w:lastColumn="0" w:lastRow="0" w:noHBand="0" w:noVBand="1" w:val="04A0"/>
            </w:tblPr>
            <w:tblGrid>
              <w:gridCol w:w="2523"/>
              <w:gridCol w:w="2523"/>
            </w:tblGrid>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Pump shaft power</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Prevents selecting a PTO with insufficient continuous power rating.</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25% service factor</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Accounts for real-world load variation, cold starts, and wear over life.</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NPSH check</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Prevents cavitation — the single most common pump failure on fuel tankers running petrol or LPG.</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Required PTO ratio</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Ensures pump speed stays within the manufacturer's rated band at all engine speeds from idle to governed.</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Torque with 1.25 SF</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Confirms the transmission PTO port is not overloaded — the BBI limit is a hard warranty and safety boundary.</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Displacement sizing</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Sizes the pump to deliver the required flow at the actual PTO speed — not a catalogue guess.</w:t>
                  </w:r>
                </w:p>
              </w:tc>
            </w:tr>
            <w:tr>
              <w:tc>
                <w:tcPr>
                  <w:tcW w:type="dxa" w:w="2523"/>
                  <w:shd w:val="clear" w:color="auto" w:fill="EBF3FB"/>
                  <w:tcBorders>
                    <w:top w:val="single" w:sz="4" w:color="BDD7EE"/>
                    <w:left w:val="single" w:sz="4" w:color="BDD7EE"/>
                    <w:bottom w:val="single" w:sz="4" w:color="BDD7EE"/>
                    <w:right w:val="single" w:sz="4" w:color="BDD7EE"/>
                  </w:tcBorders>
                  <w:tcW w:w="1168" w:type="dxa"/>
                </w:tcPr>
                <w:p>
                  <w:pPr>
                    <w:spacing w:before="20" w:after="20"/>
                  </w:pPr>
                  <w:r>
                    <w:rPr>
                      <w:rFonts w:ascii="Calibri" w:hAnsi="Calibri"/>
                      <w:b/>
                      <w:color w:val="1F3864"/>
                      <w:sz w:val="17"/>
                    </w:rPr>
                    <w:t>Actual flow back-check</w:t>
                  </w:r>
                </w:p>
              </w:tc>
              <w:tc>
                <w:tcPr>
                  <w:tcW w:type="dxa" w:w="2523"/>
                  <w:shd w:val="clear" w:color="auto" w:fill="FFFFFF"/>
                  <w:tcBorders>
                    <w:top w:val="single" w:sz="4" w:color="BDD7EE"/>
                    <w:left w:val="single" w:sz="4" w:color="BDD7EE"/>
                    <w:bottom w:val="single" w:sz="4" w:color="BDD7EE"/>
                    <w:right w:val="single" w:sz="4" w:color="BDD7EE"/>
                  </w:tcBorders>
                  <w:tcW w:w="2306" w:type="dxa"/>
                </w:tcPr>
                <w:p>
                  <w:pPr>
                    <w:spacing w:before="20" w:after="20"/>
                  </w:pPr>
                  <w:r>
                    <w:rPr>
                      <w:rFonts w:ascii="Calibri" w:hAnsi="Calibri"/>
                      <w:color w:val="404040"/>
                      <w:sz w:val="17"/>
                    </w:rPr>
                    <w:t>Confirms the nearest catalogue pump size genuinely meets the flow requirement after rounding.</w:t>
                  </w:r>
                </w:p>
              </w:tc>
            </w:tr>
          </w:tbl>
          <w:p/>
        </w:tc>
        <w:tc>
          <w:tcPr>
            <w:tcW w:type="dxa" w:w="5046"/>
            <w:tcW w:w="3504" w:type="dxa"/>
            <w:tcBorders>
              <w:top w:val="none" w:sz="4" w:color="FFFFFF"/>
              <w:left w:val="none" w:sz="4" w:color="FFFFFF"/>
              <w:bottom w:val="none" w:sz="4" w:color="FFFFFF"/>
              <w:right w:val="none" w:sz="4" w:color="FFFFFF"/>
            </w:tcBorders>
          </w:tcPr>
          <w:p>
            <w:pPr>
              <w:spacing w:before="40" w:after="60"/>
              <w:jc w:val="left"/>
            </w:pPr>
            <w:r>
              <w:rPr>
                <w:rFonts w:ascii="Calibri" w:hAnsi="Calibri"/>
                <w:b/>
                <w:i w:val="0"/>
                <w:color w:val="1F3864"/>
                <w:sz w:val="21"/>
              </w:rPr>
              <w:t>Scope Across Makes and Models</w:t>
            </w:r>
          </w:p>
          <w:p>
            <w:pPr>
              <w:spacing w:before="0" w:after="100"/>
              <w:jc w:val="left"/>
            </w:pPr>
            <w:r>
              <w:rPr>
                <w:rFonts w:ascii="Calibri" w:hAnsi="Calibri"/>
                <w:b w:val="0"/>
                <w:i w:val="0"/>
                <w:color w:val="404040"/>
                <w:sz w:val="19"/>
              </w:rPr>
              <w:t>The tools are deliberately chassis-agnostic. The PTO ratio and torque methodology applies identically to an Allison automatic, a ZF Traxon AMT, an Eaton Fuller manual, an Isuzu AMT, or a Volvo I-Shift — because the underlying physics does not change. What changes is the OEM-specific torque limit and the approved PTO list, both of which are entered by the engineer from the BBI rather than assumed in the tool.</w:t>
            </w:r>
          </w:p>
          <w:p>
            <w:pPr>
              <w:spacing w:before="0" w:after="40"/>
              <w:jc w:val="left"/>
            </w:pPr>
            <w:r>
              <w:rPr>
                <w:rFonts w:ascii="Calibri" w:hAnsi="Calibri"/>
                <w:b w:val="0"/>
                <w:i w:val="0"/>
                <w:color w:val="404040"/>
                <w:sz w:val="19"/>
              </w:rPr>
              <w:t>The appendices provide the most common PTO ratios by transmission and typical pump speed ranges as a starting reference — but every selection is confirmed against the specific transmission serial number and the pump manufacturer's data sheet before ordering.</w:t>
            </w:r>
          </w:p>
          <w:p>
            <w:pPr>
              <w:spacing w:before="80" w:after="80"/>
              <w:pBdr>
                <w:bottom w:val="single" w:sz="4" w:color="BDD7EE"/>
              </w:pBdr>
            </w:pPr>
          </w:p>
          <w:p>
            <w:pPr>
              <w:spacing w:before="120" w:after="60"/>
              <w:jc w:val="left"/>
            </w:pPr>
            <w:r>
              <w:rPr>
                <w:rFonts w:ascii="Calibri" w:hAnsi="Calibri"/>
                <w:b/>
                <w:i w:val="0"/>
                <w:color w:val="1F3864"/>
                <w:sz w:val="21"/>
              </w:rPr>
              <w:t>Compliance Anchoring</w:t>
            </w:r>
          </w:p>
          <w:p>
            <w:pPr>
              <w:spacing w:before="0" w:after="40"/>
              <w:jc w:val="left"/>
            </w:pPr>
            <w:r>
              <w:rPr>
                <w:rFonts w:ascii="Calibri" w:hAnsi="Calibri"/>
                <w:b w:val="0"/>
                <w:i w:val="0"/>
                <w:color w:val="404040"/>
                <w:sz w:val="19"/>
              </w:rPr>
              <w:t>Both tools are built around the standards that govern dangerous goods road tanker construction in Australia. The NPSH check references AS 1596 fluid property requirements for LPG. The ADG class field drives the fluid compatibility and earthing/bonding checks. The deadman/emergency stop requirement is flagged directly from ADG Code requirements for Class 3 and Class 2.1 vehicles. NMI M 10 trade measurement approval is prompted wherever a metering application is identified.</w:t>
            </w:r>
          </w:p>
          <w:p>
            <w:pPr>
              <w:spacing w:before="80" w:after="80"/>
              <w:pBdr>
                <w:bottom w:val="single" w:sz="4" w:color="BDD7EE"/>
              </w:pBdr>
            </w:pPr>
          </w:p>
          <w:p>
            <w:pPr>
              <w:spacing w:before="120" w:after="60"/>
              <w:jc w:val="left"/>
            </w:pPr>
            <w:r>
              <w:rPr>
                <w:rFonts w:ascii="Calibri" w:hAnsi="Calibri"/>
                <w:b/>
                <w:i w:val="0"/>
                <w:color w:val="1F3864"/>
                <w:sz w:val="21"/>
              </w:rPr>
              <w:t>The Role of the Service Factor</w:t>
            </w:r>
          </w:p>
          <w:p>
            <w:pPr>
              <w:spacing w:before="0" w:after="40"/>
              <w:jc w:val="left"/>
            </w:pPr>
            <w:r>
              <w:rPr>
                <w:rFonts w:ascii="Calibri" w:hAnsi="Calibri"/>
                <w:b w:val="0"/>
                <w:i w:val="0"/>
                <w:color w:val="404040"/>
                <w:sz w:val="19"/>
              </w:rPr>
              <w:t>A 1.25 service factor is applied to both the power and torque calculations. This is not conservatism for its own sake — it reflects the real operating environment of a fuel tanker. PTO systems are engaged and disengaged under load, sometimes on grades, sometimes with partially worn pump seals, and sometimes at fluid temperatures that shift viscosity outside the nominal design point. A factor of 1.25 is the standard industry allowance for these conditions and is consistent with transmission OEM guidance for continuous-duty PTO applications.</w:t>
            </w:r>
          </w:p>
          <w:p>
            <w:pPr>
              <w:spacing w:before="80" w:after="80"/>
              <w:pBdr>
                <w:bottom w:val="single" w:sz="4" w:color="BDD7EE"/>
              </w:pBdr>
            </w:pPr>
          </w:p>
          <w:p>
            <w:pPr>
              <w:spacing w:before="120" w:after="60"/>
              <w:jc w:val="left"/>
            </w:pPr>
            <w:r>
              <w:rPr>
                <w:rFonts w:ascii="Calibri" w:hAnsi="Calibri"/>
                <w:b/>
                <w:i w:val="0"/>
                <w:color w:val="1F3864"/>
                <w:sz w:val="21"/>
              </w:rPr>
              <w:t>When to Use Each Tool</w:t>
            </w:r>
          </w:p>
          <w:tbl>
            <w:tblPr>
              <w:tblStyle w:val="TableGrid"/>
              <w:tblW w:type="auto" w:w="0"/>
              <w:jc w:val="left"/>
              <w:tblLook w:firstColumn="1" w:firstRow="1" w:lastColumn="0" w:lastRow="0" w:noHBand="0" w:noVBand="1" w:val="04A0"/>
            </w:tblPr>
            <w:tblGrid>
              <w:gridCol w:w="2523"/>
              <w:gridCol w:w="2523"/>
            </w:tblGrid>
            <w:tr>
              <w:tc>
                <w:tcPr>
                  <w:tcW w:type="dxa" w:w="2523"/>
                  <w:shd w:val="clear" w:color="auto" w:fill="1F3864"/>
                  <w:tcBorders>
                    <w:top w:val="single" w:sz="4" w:color="1F3864"/>
                    <w:left w:val="single" w:sz="4" w:color="1F3864"/>
                    <w:bottom w:val="single" w:sz="4" w:color="1F3864"/>
                    <w:right w:val="single" w:sz="4" w:color="1F3864"/>
                  </w:tcBorders>
                  <w:tcW w:w="2172" w:type="dxa"/>
                </w:tcPr>
                <w:p>
                  <w:pPr>
                    <w:spacing w:before="40" w:after="40"/>
                  </w:pPr>
                  <w:r>
                    <w:rPr>
                      <w:rFonts w:ascii="Calibri" w:hAnsi="Calibri"/>
                      <w:b/>
                      <w:color w:val="FFFFFF"/>
                      <w:sz w:val="18"/>
                    </w:rPr>
                    <w:t>Situation</w:t>
                  </w:r>
                </w:p>
              </w:tc>
              <w:tc>
                <w:tcPr>
                  <w:tcW w:type="dxa" w:w="2523"/>
                  <w:shd w:val="clear" w:color="auto" w:fill="1F3864"/>
                  <w:tcBorders>
                    <w:top w:val="single" w:sz="4" w:color="1F3864"/>
                    <w:left w:val="single" w:sz="4" w:color="1F3864"/>
                    <w:bottom w:val="single" w:sz="4" w:color="1F3864"/>
                    <w:right w:val="single" w:sz="4" w:color="1F3864"/>
                  </w:tcBorders>
                  <w:tcW w:w="1331" w:type="dxa"/>
                </w:tcPr>
                <w:p>
                  <w:pPr>
                    <w:spacing w:before="40" w:after="40"/>
                  </w:pPr>
                  <w:r>
                    <w:rPr>
                      <w:rFonts w:ascii="Calibri" w:hAnsi="Calibri"/>
                      <w:b/>
                      <w:color w:val="FFFFFF"/>
                      <w:sz w:val="18"/>
                    </w:rPr>
                    <w:t>Tool</w:t>
                  </w:r>
                </w:p>
              </w:tc>
            </w:tr>
            <w:tr>
              <w:tc>
                <w:tcPr>
                  <w:tcW w:type="dxa" w:w="2523"/>
                  <w:shd w:val="clear" w:color="auto" w:fill="FFFFFF"/>
                  <w:tcBorders>
                    <w:top w:val="single" w:sz="4" w:color="BDD7EE"/>
                    <w:left w:val="single" w:sz="4" w:color="BDD7EE"/>
                    <w:bottom w:val="single" w:sz="4" w:color="BDD7EE"/>
                    <w:right w:val="single" w:sz="4" w:color="BDD7EE"/>
                  </w:tcBorders>
                  <w:tcW w:w="2172" w:type="dxa"/>
                </w:tcPr>
                <w:p>
                  <w:pPr>
                    <w:spacing w:before="40" w:after="40"/>
                  </w:pPr>
                  <w:r>
                    <w:rPr>
                      <w:rFonts w:ascii="Calibri" w:hAnsi="Calibri"/>
                      <w:color w:val="404040"/>
                      <w:sz w:val="17"/>
                    </w:rPr>
                    <w:t>New build, unfamiliar chassis, junior engineer, or full paper trail required</w:t>
                  </w:r>
                </w:p>
              </w:tc>
              <w:tc>
                <w:tcPr>
                  <w:tcW w:type="dxa" w:w="2523"/>
                  <w:shd w:val="clear" w:color="auto" w:fill="FFFFFF"/>
                  <w:tcBorders>
                    <w:top w:val="single" w:sz="4" w:color="BDD7EE"/>
                    <w:left w:val="single" w:sz="4" w:color="BDD7EE"/>
                    <w:bottom w:val="single" w:sz="4" w:color="BDD7EE"/>
                    <w:right w:val="single" w:sz="4" w:color="BDD7EE"/>
                  </w:tcBorders>
                  <w:tcW w:w="1331" w:type="dxa"/>
                </w:tcPr>
                <w:p>
                  <w:pPr>
                    <w:spacing w:before="40" w:after="40"/>
                  </w:pPr>
                  <w:r>
                    <w:rPr>
                      <w:rFonts w:ascii="Calibri" w:hAnsi="Calibri"/>
                      <w:b/>
                      <w:color w:val="1F3864"/>
                      <w:sz w:val="17"/>
                    </w:rPr>
                    <w:t>Full Template (8-sheet)</w:t>
                  </w:r>
                </w:p>
              </w:tc>
            </w:tr>
            <w:tr>
              <w:tc>
                <w:tcPr>
                  <w:tcW w:type="dxa" w:w="2523"/>
                  <w:shd w:val="clear" w:color="auto" w:fill="EBF3FB"/>
                  <w:tcBorders>
                    <w:top w:val="single" w:sz="4" w:color="BDD7EE"/>
                    <w:left w:val="single" w:sz="4" w:color="BDD7EE"/>
                    <w:bottom w:val="single" w:sz="4" w:color="BDD7EE"/>
                    <w:right w:val="single" w:sz="4" w:color="BDD7EE"/>
                  </w:tcBorders>
                  <w:tcW w:w="2172" w:type="dxa"/>
                </w:tcPr>
                <w:p>
                  <w:pPr>
                    <w:spacing w:before="40" w:after="40"/>
                  </w:pPr>
                  <w:r>
                    <w:rPr>
                      <w:rFonts w:ascii="Calibri" w:hAnsi="Calibri"/>
                      <w:color w:val="404040"/>
                      <w:sz w:val="17"/>
                    </w:rPr>
                    <w:t>Familiar job, experienced engineer, quick check or pre-quote sizing</w:t>
                  </w:r>
                </w:p>
              </w:tc>
              <w:tc>
                <w:tcPr>
                  <w:tcW w:type="dxa" w:w="2523"/>
                  <w:shd w:val="clear" w:color="auto" w:fill="EBF3FB"/>
                  <w:tcBorders>
                    <w:top w:val="single" w:sz="4" w:color="BDD7EE"/>
                    <w:left w:val="single" w:sz="4" w:color="BDD7EE"/>
                    <w:bottom w:val="single" w:sz="4" w:color="BDD7EE"/>
                    <w:right w:val="single" w:sz="4" w:color="BDD7EE"/>
                  </w:tcBorders>
                  <w:tcW w:w="1331" w:type="dxa"/>
                </w:tcPr>
                <w:p>
                  <w:pPr>
                    <w:spacing w:before="40" w:after="40"/>
                  </w:pPr>
                  <w:r>
                    <w:rPr>
                      <w:rFonts w:ascii="Calibri" w:hAnsi="Calibri"/>
                      <w:b/>
                      <w:color w:val="1F3864"/>
                      <w:sz w:val="17"/>
                    </w:rPr>
                    <w:t>Quick Spec (single sheet)</w:t>
                  </w:r>
                </w:p>
              </w:tc>
            </w:tr>
          </w:tbl>
          <w:p/>
          <w:p>
            <w:pPr>
              <w:spacing w:before="120" w:after="40"/>
              <w:jc w:val="left"/>
            </w:pPr>
          </w:p>
          <w:p>
            <w:pPr>
              <w:spacing w:before="80" w:after="80"/>
              <w:pBdr>
                <w:bottom w:val="single" w:sz="4" w:color="BDD7EE"/>
              </w:pBdr>
            </w:pPr>
          </w:p>
          <w:p>
            <w:pPr>
              <w:spacing w:before="120" w:after="60"/>
              <w:jc w:val="left"/>
            </w:pPr>
            <w:r>
              <w:rPr>
                <w:rFonts w:ascii="Calibri" w:hAnsi="Calibri"/>
                <w:b/>
                <w:i w:val="0"/>
                <w:color w:val="1F3864"/>
                <w:sz w:val="21"/>
              </w:rPr>
              <w:t>Limitations and Engineering Responsibility</w:t>
            </w:r>
          </w:p>
          <w:p>
            <w:pPr>
              <w:spacing w:before="0" w:after="40"/>
              <w:jc w:val="left"/>
            </w:pPr>
            <w:r>
              <w:rPr>
                <w:rFonts w:ascii="Calibri" w:hAnsi="Calibri"/>
                <w:b w:val="0"/>
                <w:i w:val="0"/>
                <w:color w:val="404040"/>
                <w:sz w:val="19"/>
              </w:rPr>
              <w:t>These tools automate calculation — they do not replace engineering judgement. The OEM Body Builder Instructions for each specific transmission must be read and consulted before any PTO is ordered. Pump manufacturer data sheets must be verified against the calculated outputs. For dangerous goods vehicles, final specification must be reviewed against current ADG Code requirements and applicable Australian Standards. WorkCover or SafeWork notification obligations for modifications to registered dangerous goods plant remain the responsibility of the engineer and owner.</w:t>
            </w:r>
          </w:p>
        </w:tc>
      </w:tr>
    </w:tbl>
    <w:p>
      <w:pPr>
        <w:spacing w:after="80"/>
      </w:pPr>
    </w:p>
    <w:tbl>
      <w:tblPr>
        <w:tblStyle w:val="TableGrid"/>
        <w:tblW w:type="auto" w:w="0"/>
        <w:jc w:val="left"/>
        <w:tblLook w:firstColumn="1" w:firstRow="1" w:lastColumn="0" w:lastRow="0" w:noHBand="0" w:noVBand="1" w:val="04A0"/>
        <w:tblW w:w="7008" w:type="dxa"/>
      </w:tblPr>
      <w:tblGrid>
        <w:gridCol w:w="10092"/>
      </w:tblGrid>
      <w:tr>
        <w:tc>
          <w:tcPr>
            <w:tcW w:type="dxa" w:w="10092"/>
            <w:shd w:val="clear" w:color="auto" w:fill="1F3864"/>
            <w:tcBorders>
              <w:top w:val="none" w:sz="4" w:color="FFFFFF"/>
              <w:left w:val="none" w:sz="4" w:color="FFFFFF"/>
              <w:bottom w:val="none" w:sz="4" w:color="FFFFFF"/>
              <w:right w:val="none" w:sz="4" w:color="FFFFFF"/>
            </w:tcBorders>
          </w:tcPr>
          <w:p>
            <w:pPr>
              <w:spacing w:before="80" w:after="80"/>
              <w:jc w:val="center"/>
            </w:pPr>
            <w:r>
              <w:rPr>
                <w:rFonts w:ascii="Calibri" w:hAnsi="Calibri"/>
                <w:color w:val="BDD7EE"/>
                <w:sz w:val="16"/>
              </w:rPr>
              <w:t>Harlow + Petra  |  The Works  |  June 2026  |  Reference documents: HARLOW-PETRA-001-PTO-Specification-Template.xlsx  &amp;  HARLOW-PETRA-001-PTO-Quick-Spec.xlsx</w:t>
            </w:r>
          </w:p>
        </w:tc>
      </w:tr>
    </w:tbl>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