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B3557"/>
        <w:spacing w:before="0" w:after="0"/>
      </w:pPr>
      <w:r>
        <w:rPr>
          <w:b/>
          <w:color w:val="FFFFFF"/>
          <w:sz w:val="32"/>
        </w:rPr>
        <w:t xml:space="preserve">  Decision Authority Map  </w:t>
      </w:r>
      <w:r>
        <w:rPr>
          <w:color w:val="94A3B8"/>
          <w:sz w:val="20"/>
        </w:rPr>
        <w:t>·  What each role can decide alone, consult on, and escalate</w:t>
      </w:r>
      <w:r>
        <w:rPr>
          <w:i/>
          <w:color w:val="64748B"/>
          <w:sz w:val="18"/>
        </w:rPr>
        <w:t xml:space="preserve">   Managers &amp; Supervisors Briefing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968"/>
            <w:shd w:val="clear" w:color="auto" w:fill="EBF5EF"/>
          </w:tcPr>
          <w:p>
            <w:pPr>
              <w:spacing w:before="60" w:after="20"/>
            </w:pPr>
            <w:r>
              <w:rPr>
                <w:b/>
                <w:color w:val="1E6B45"/>
                <w:sz w:val="16"/>
              </w:rPr>
              <w:t xml:space="preserve">  DECIDE ALONE  </w:t>
            </w:r>
          </w:p>
          <w:p>
            <w:pPr>
              <w:spacing w:before="0" w:after="60"/>
            </w:pPr>
            <w:r>
              <w:rPr>
                <w:i/>
                <w:color w:val="64748B"/>
                <w:sz w:val="15"/>
              </w:rPr>
              <w:t xml:space="preserve">  Act. No approval needed. You are accountable for the outcome.</w:t>
            </w:r>
          </w:p>
        </w:tc>
        <w:tc>
          <w:tcPr>
            <w:tcW w:type="dxa" w:w="4968"/>
            <w:shd w:val="clear" w:color="auto" w:fill="FEF3C7"/>
          </w:tcPr>
          <w:p>
            <w:pPr>
              <w:spacing w:before="60" w:after="20"/>
            </w:pPr>
            <w:r>
              <w:rPr>
                <w:b/>
                <w:color w:val="795500"/>
                <w:sz w:val="16"/>
              </w:rPr>
              <w:t xml:space="preserve">  CONSULT THEN DECIDE  </w:t>
            </w:r>
          </w:p>
          <w:p>
            <w:pPr>
              <w:spacing w:before="0" w:after="60"/>
            </w:pPr>
            <w:r>
              <w:rPr>
                <w:i/>
                <w:color w:val="64748B"/>
                <w:sz w:val="15"/>
              </w:rPr>
              <w:t xml:space="preserve">  Seek input from the named person before deciding. You still own the decision.</w:t>
            </w:r>
          </w:p>
        </w:tc>
        <w:tc>
          <w:tcPr>
            <w:tcW w:type="dxa" w:w="4968"/>
            <w:shd w:val="clear" w:color="auto" w:fill="FDE9E9"/>
          </w:tcPr>
          <w:p>
            <w:pPr>
              <w:spacing w:before="60" w:after="20"/>
            </w:pPr>
            <w:r>
              <w:rPr>
                <w:b/>
                <w:color w:val="991010"/>
                <w:sz w:val="16"/>
              </w:rPr>
              <w:t xml:space="preserve">  ESCALATE WITH A RECOMMENDATION  </w:t>
            </w:r>
          </w:p>
          <w:p>
            <w:pPr>
              <w:spacing w:before="0" w:after="60"/>
            </w:pPr>
            <w:r>
              <w:rPr>
                <w:i/>
                <w:color w:val="64748B"/>
                <w:sz w:val="15"/>
              </w:rPr>
              <w:t xml:space="preserve">  This decision belongs above your authority. Bring your recommendation — not just the problem.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rHeight w:val="311" w:hRule="exact"/>
        </w:trPr>
        <w:tc>
          <w:tcPr>
            <w:tcW w:type="dxa" w:w="1814"/>
            <w:shd w:val="clear" w:color="auto" w:fill="1B3557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4139"/>
            <w:shd w:val="clear" w:color="auto" w:fill="1E6B45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6"/>
              </w:rPr>
              <w:t xml:space="preserve">  Decide Alone</w:t>
            </w:r>
          </w:p>
        </w:tc>
        <w:tc>
          <w:tcPr>
            <w:tcW w:type="dxa" w:w="4139"/>
            <w:shd w:val="clear" w:color="auto" w:fill="79550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6"/>
              </w:rPr>
              <w:t xml:space="preserve">  Consult Then Decide</w:t>
            </w:r>
          </w:p>
        </w:tc>
        <w:tc>
          <w:tcPr>
            <w:tcW w:type="dxa" w:w="4706"/>
            <w:shd w:val="clear" w:color="auto" w:fill="991010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6"/>
              </w:rPr>
              <w:t xml:space="preserve">  Escalate With a Recommendation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80" w:after="40"/>
              <w:jc w:val="center"/>
            </w:pPr>
            <w:r>
              <w:rPr>
                <w:b/>
                <w:color w:val="1E5AA8"/>
                <w:sz w:val="15"/>
              </w:rPr>
              <w:t>Engineering</w:t>
              <w:br/>
              <w:t>Manager</w:t>
            </w:r>
          </w:p>
        </w:tc>
        <w:tc>
          <w:tcPr>
            <w:tcW w:type="dxa" w:w="4139"/>
            <w:shd w:val="clear" w:color="auto" w:fill="EBF5EF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Job sequencing within engineering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Release checklist sign-off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BOM standard updates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Resource allocation within engineering</w:t>
            </w:r>
          </w:p>
        </w:tc>
        <w:tc>
          <w:tcPr>
            <w:tcW w:type="dxa" w:w="4139"/>
            <w:shd w:val="clear" w:color="auto" w:fill="FEF3C7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Production GM — design changes after release</w:t>
            </w:r>
          </w:p>
          <w:p>
            <w:pPr>
              <w:spacing w:before="0" w:after="20"/>
              <w:ind w:left="72"/>
            </w:pPr>
            <w:r>
              <w:rPr>
                <w:color w:val="795500"/>
                <w:sz w:val="15"/>
              </w:rPr>
              <w:t>· Production GM — before flagging a capacity constraint</w:t>
            </w:r>
          </w:p>
        </w:tc>
        <w:tc>
          <w:tcPr>
            <w:tcW w:type="dxa" w:w="4706"/>
            <w:shd w:val="clear" w:color="auto" w:fill="FDE9E9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Production GM — capacity constraint affecting schedule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design change with significant cost or delivery impact</w:t>
            </w:r>
          </w:p>
        </w:tc>
      </w:tr>
      <w:tr>
        <w:tc>
          <w:tcPr>
            <w:tcW w:type="dxa" w:w="1814"/>
            <w:shd w:val="clear" w:color="auto" w:fill="F6F8FB"/>
          </w:tcPr>
          <w:p>
            <w:pPr>
              <w:spacing w:before="80" w:after="40"/>
              <w:jc w:val="center"/>
            </w:pPr>
            <w:r>
              <w:rPr>
                <w:b/>
                <w:color w:val="1E5AA8"/>
                <w:sz w:val="15"/>
              </w:rPr>
              <w:t>Senior</w:t>
              <w:br/>
              <w:t>Engineers</w:t>
            </w:r>
          </w:p>
        </w:tc>
        <w:tc>
          <w:tcPr>
            <w:tcW w:type="dxa" w:w="4139"/>
            <w:shd w:val="clear" w:color="auto" w:fill="F0F8F3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Sub-assembly interference check on owned job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Spatial review sign-off on complex jobs</w:t>
            </w:r>
          </w:p>
        </w:tc>
        <w:tc>
          <w:tcPr>
            <w:tcW w:type="dxa" w:w="4139"/>
            <w:shd w:val="clear" w:color="auto" w:fill="FEF8E8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Engineering Manager — complex job or ambiguous finding</w:t>
            </w:r>
          </w:p>
        </w:tc>
        <w:tc>
          <w:tcPr>
            <w:tcW w:type="dxa" w:w="4706"/>
            <w:shd w:val="clear" w:color="auto" w:fill="FDF2F2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Engineering Manager — design issue found that may affect release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80" w:after="40"/>
              <w:jc w:val="center"/>
            </w:pPr>
            <w:r>
              <w:rPr>
                <w:b/>
                <w:color w:val="A84E10"/>
                <w:sz w:val="15"/>
              </w:rPr>
              <w:t>Operations</w:t>
              <w:br/>
              <w:t>Manager</w:t>
            </w:r>
          </w:p>
        </w:tc>
        <w:tc>
          <w:tcPr>
            <w:tcW w:type="dxa" w:w="4139"/>
            <w:shd w:val="clear" w:color="auto" w:fill="EBF5EF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Costing process design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Job allocation decisions within capacity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Definition of "costable job" standard</w:t>
            </w:r>
          </w:p>
        </w:tc>
        <w:tc>
          <w:tcPr>
            <w:tcW w:type="dxa" w:w="4139"/>
            <w:shd w:val="clear" w:color="auto" w:fill="FEF3C7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Engineering Manager — upstream information requirements</w:t>
            </w:r>
          </w:p>
          <w:p>
            <w:pPr>
              <w:spacing w:before="0" w:after="20"/>
              <w:ind w:left="72"/>
            </w:pPr>
            <w:r>
              <w:rPr>
                <w:color w:val="795500"/>
                <w:sz w:val="15"/>
              </w:rPr>
              <w:t>· Finance Manager — systems investment scope</w:t>
            </w:r>
          </w:p>
        </w:tc>
        <w:tc>
          <w:tcPr>
            <w:tcW w:type="dxa" w:w="4706"/>
            <w:shd w:val="clear" w:color="auto" w:fill="FDE9E9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Production GM — resourcing constraint beyond authority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systems spend approval</w:t>
            </w:r>
          </w:p>
        </w:tc>
      </w:tr>
      <w:tr>
        <w:tc>
          <w:tcPr>
            <w:tcW w:type="dxa" w:w="1814"/>
            <w:shd w:val="clear" w:color="auto" w:fill="F6F8FB"/>
          </w:tcPr>
          <w:p>
            <w:pPr>
              <w:spacing w:before="80" w:after="40"/>
              <w:jc w:val="center"/>
            </w:pPr>
            <w:r>
              <w:rPr>
                <w:b/>
                <w:color w:val="1E6B45"/>
                <w:sz w:val="15"/>
              </w:rPr>
              <w:t>Finance</w:t>
              <w:br/>
              <w:t>Manager</w:t>
            </w:r>
          </w:p>
        </w:tc>
        <w:tc>
          <w:tcPr>
            <w:tcW w:type="dxa" w:w="4139"/>
            <w:shd w:val="clear" w:color="auto" w:fill="F0F8F3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Reporting format and cadence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AP payment timing within policy</w:t>
            </w:r>
          </w:p>
        </w:tc>
        <w:tc>
          <w:tcPr>
            <w:tcW w:type="dxa" w:w="4139"/>
            <w:shd w:val="clear" w:color="auto" w:fill="FEF8E8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Sales Manager — AR follow-up process</w:t>
            </w:r>
          </w:p>
          <w:p>
            <w:pPr>
              <w:spacing w:before="0" w:after="20"/>
              <w:ind w:left="72"/>
            </w:pPr>
            <w:r>
              <w:rPr>
                <w:color w:val="795500"/>
                <w:sz w:val="15"/>
              </w:rPr>
              <w:t>· IT / Operations — job time system recommendation</w:t>
            </w:r>
          </w:p>
        </w:tc>
        <w:tc>
          <w:tcPr>
            <w:tcW w:type="dxa" w:w="4706"/>
            <w:shd w:val="clear" w:color="auto" w:fill="FDF2F2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CEO — systems spend approval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material margin risk or cash risk above threshold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80" w:after="40"/>
              <w:jc w:val="center"/>
            </w:pPr>
            <w:r>
              <w:rPr>
                <w:b/>
                <w:color w:val="0F6B6B"/>
                <w:sz w:val="15"/>
              </w:rPr>
              <w:t>Production</w:t>
              <w:br/>
              <w:t>GM</w:t>
            </w:r>
          </w:p>
        </w:tc>
        <w:tc>
          <w:tcPr>
            <w:tcW w:type="dxa" w:w="4139"/>
            <w:shd w:val="clear" w:color="auto" w:fill="EBF5EF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Resource allocation within production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Overtime decisions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Build plan and schedule</w:t>
            </w:r>
          </w:p>
        </w:tc>
        <w:tc>
          <w:tcPr>
            <w:tcW w:type="dxa" w:w="4139"/>
            <w:shd w:val="clear" w:color="auto" w:fill="FEF3C7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Finance Manager — significant overtime cost impact</w:t>
            </w:r>
          </w:p>
        </w:tc>
        <w:tc>
          <w:tcPr>
            <w:tcW w:type="dxa" w:w="4706"/>
            <w:shd w:val="clear" w:color="auto" w:fill="FDE9E9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CEO — capital or headcount required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customer delivery commitment at risk</w:t>
            </w:r>
          </w:p>
        </w:tc>
      </w:tr>
      <w:tr>
        <w:tc>
          <w:tcPr>
            <w:tcW w:type="dxa" w:w="1814"/>
            <w:shd w:val="clear" w:color="auto" w:fill="F6F8FB"/>
          </w:tcPr>
          <w:p>
            <w:pPr>
              <w:spacing w:before="80" w:after="40"/>
              <w:jc w:val="center"/>
            </w:pPr>
            <w:r>
              <w:rPr>
                <w:b/>
                <w:color w:val="0F6B6B"/>
                <w:sz w:val="15"/>
              </w:rPr>
              <w:t>Production</w:t>
              <w:br/>
              <w:t>Manager</w:t>
            </w:r>
          </w:p>
        </w:tc>
        <w:tc>
          <w:tcPr>
            <w:tcW w:type="dxa" w:w="4139"/>
            <w:shd w:val="clear" w:color="auto" w:fill="F0F8F3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Build sequence within the cell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Day-to-day job prioritisation on the floor</w:t>
            </w:r>
          </w:p>
        </w:tc>
        <w:tc>
          <w:tcPr>
            <w:tcW w:type="dxa" w:w="4139"/>
            <w:shd w:val="clear" w:color="auto" w:fill="FEF8E8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Production GM — resource conflict between cells</w:t>
            </w:r>
          </w:p>
        </w:tc>
        <w:tc>
          <w:tcPr>
            <w:tcW w:type="dxa" w:w="4706"/>
            <w:shd w:val="clear" w:color="auto" w:fill="FDF2F2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Engineering Manager — incomplete package, same day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Production GM — if not resolved within the day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80" w:after="40"/>
              <w:jc w:val="center"/>
            </w:pPr>
            <w:r>
              <w:rPr>
                <w:b/>
                <w:color w:val="0F6B6B"/>
                <w:sz w:val="15"/>
              </w:rPr>
              <w:t>Production</w:t>
              <w:br/>
              <w:t>Supervisors</w:t>
            </w:r>
          </w:p>
        </w:tc>
        <w:tc>
          <w:tcPr>
            <w:tcW w:type="dxa" w:w="4139"/>
            <w:shd w:val="clear" w:color="auto" w:fill="EBF5EF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Stop a job for an incomplete or incorrect package</w:t>
            </w:r>
          </w:p>
          <w:p>
            <w:pPr>
              <w:spacing w:before="0" w:after="20"/>
              <w:ind w:left="72"/>
            </w:pPr>
            <w:r>
              <w:rPr>
                <w:color w:val="1A202C"/>
                <w:sz w:val="15"/>
              </w:rPr>
              <w:t xml:space="preserve">  (mandatory — not optional)</w:t>
            </w:r>
          </w:p>
        </w:tc>
        <w:tc>
          <w:tcPr>
            <w:tcW w:type="dxa" w:w="4139"/>
            <w:shd w:val="clear" w:color="auto" w:fill="FEF3C7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No consultation required — act immediately</w:t>
            </w:r>
          </w:p>
        </w:tc>
        <w:tc>
          <w:tcPr>
            <w:tcW w:type="dxa" w:w="4706"/>
            <w:shd w:val="clear" w:color="auto" w:fill="FDE9E9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Production Manager — inform immediately when a job is stopped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Document: job number, reason, time, what is missing</w:t>
            </w:r>
          </w:p>
        </w:tc>
      </w:tr>
      <w:tr>
        <w:tc>
          <w:tcPr>
            <w:tcW w:type="dxa" w:w="1814"/>
            <w:shd w:val="clear" w:color="auto" w:fill="F6F8FB"/>
          </w:tcPr>
          <w:p>
            <w:pPr>
              <w:spacing w:before="80" w:after="40"/>
              <w:jc w:val="center"/>
            </w:pPr>
            <w:r>
              <w:rPr>
                <w:b/>
                <w:color w:val="991010"/>
                <w:sz w:val="15"/>
              </w:rPr>
              <w:t>Quality</w:t>
              <w:br/>
              <w:t>Manager</w:t>
            </w:r>
          </w:p>
        </w:tc>
        <w:tc>
          <w:tcPr>
            <w:tcW w:type="dxa" w:w="4139"/>
            <w:shd w:val="clear" w:color="auto" w:fill="F0F8F3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Close or hold open any repair action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Root cause category standard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Call a production stop for quality reasons</w:t>
            </w:r>
          </w:p>
        </w:tc>
        <w:tc>
          <w:tcPr>
            <w:tcW w:type="dxa" w:w="4139"/>
            <w:shd w:val="clear" w:color="auto" w:fill="FEF8E8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Relevant GM — before escalating a defect to a customer</w:t>
            </w:r>
          </w:p>
        </w:tc>
        <w:tc>
          <w:tcPr>
            <w:tcW w:type="dxa" w:w="4706"/>
            <w:shd w:val="clear" w:color="auto" w:fill="FDF2F2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CEO — customer-visible defect (mandatory, same day, every time)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80" w:after="40"/>
              <w:jc w:val="center"/>
            </w:pPr>
            <w:r>
              <w:rPr>
                <w:b/>
                <w:color w:val="795500"/>
                <w:sz w:val="15"/>
              </w:rPr>
              <w:t>Safety</w:t>
              <w:br/>
              <w:t>Manager</w:t>
            </w:r>
          </w:p>
        </w:tc>
        <w:tc>
          <w:tcPr>
            <w:tcW w:type="dxa" w:w="4139"/>
            <w:shd w:val="clear" w:color="auto" w:fill="EBF5EF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Stop work for a safety reason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Safety observation programme content</w:t>
            </w:r>
          </w:p>
        </w:tc>
        <w:tc>
          <w:tcPr>
            <w:tcW w:type="dxa" w:w="4139"/>
            <w:shd w:val="clear" w:color="auto" w:fill="FEF3C7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Production GM — safety programme design and scheduling</w:t>
            </w:r>
          </w:p>
        </w:tc>
        <w:tc>
          <w:tcPr>
            <w:tcW w:type="dxa" w:w="4706"/>
            <w:shd w:val="clear" w:color="auto" w:fill="FDE9E9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CEO — recordable incident (mandatory, same day)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any regulatory reporting obligation (mandatory)</w:t>
            </w:r>
          </w:p>
        </w:tc>
      </w:tr>
      <w:tr>
        <w:tc>
          <w:tcPr>
            <w:tcW w:type="dxa" w:w="1814"/>
            <w:shd w:val="clear" w:color="auto" w:fill="F6F8FB"/>
          </w:tcPr>
          <w:p>
            <w:pPr>
              <w:spacing w:before="80" w:after="40"/>
              <w:jc w:val="center"/>
            </w:pPr>
            <w:r>
              <w:rPr>
                <w:b/>
                <w:color w:val="5C3D99"/>
                <w:sz w:val="15"/>
              </w:rPr>
              <w:t>Stores</w:t>
              <w:br/>
              <w:t>Manager</w:t>
            </w:r>
          </w:p>
        </w:tc>
        <w:tc>
          <w:tcPr>
            <w:tcW w:type="dxa" w:w="4139"/>
            <w:shd w:val="clear" w:color="auto" w:fill="F0F8F3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Material staging priority when constrained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Reorder points and safety stock levels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Flag BOM gaps to Engineering (same day — always)</w:t>
            </w:r>
          </w:p>
        </w:tc>
        <w:tc>
          <w:tcPr>
            <w:tcW w:type="dxa" w:w="4139"/>
            <w:shd w:val="clear" w:color="auto" w:fill="FEF8E8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Production Manager — staging priority conflict</w:t>
            </w:r>
          </w:p>
          <w:p>
            <w:pPr>
              <w:spacing w:before="0" w:after="20"/>
              <w:ind w:left="72"/>
            </w:pPr>
            <w:r>
              <w:rPr>
                <w:color w:val="795500"/>
                <w:sz w:val="15"/>
              </w:rPr>
              <w:t>· Procurement Manager — stock level changes</w:t>
            </w:r>
          </w:p>
        </w:tc>
        <w:tc>
          <w:tcPr>
            <w:tcW w:type="dxa" w:w="4706"/>
            <w:shd w:val="clear" w:color="auto" w:fill="FDF2F2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Production GM — material shortage with schedule impact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80" w:after="40"/>
              <w:jc w:val="center"/>
            </w:pPr>
            <w:r>
              <w:rPr>
                <w:b/>
                <w:color w:val="1E5C1E"/>
                <w:sz w:val="15"/>
              </w:rPr>
              <w:t>Sales</w:t>
              <w:br/>
              <w:t>Manager</w:t>
            </w:r>
          </w:p>
        </w:tc>
        <w:tc>
          <w:tcPr>
            <w:tcW w:type="dxa" w:w="4139"/>
            <w:shd w:val="clear" w:color="auto" w:fill="EBF5EF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Pricing decisions within defined threshold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Quote-to-engineering handover standard (with Engineering)</w:t>
            </w:r>
          </w:p>
        </w:tc>
        <w:tc>
          <w:tcPr>
            <w:tcW w:type="dxa" w:w="4139"/>
            <w:shd w:val="clear" w:color="auto" w:fill="FEF3C7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Production GM — before committing a delivery date to a customer</w:t>
            </w:r>
          </w:p>
          <w:p>
            <w:pPr>
              <w:spacing w:before="0" w:after="20"/>
              <w:ind w:left="72"/>
            </w:pPr>
            <w:r>
              <w:rPr>
                <w:color w:val="795500"/>
                <w:sz w:val="15"/>
              </w:rPr>
              <w:t>· Finance Manager — discount or material commercial terms</w:t>
            </w:r>
          </w:p>
        </w:tc>
        <w:tc>
          <w:tcPr>
            <w:tcW w:type="dxa" w:w="4706"/>
            <w:shd w:val="clear" w:color="auto" w:fill="FDE9E9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CEO — pricing above defined threshold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customer relationship at material risk</w:t>
            </w:r>
          </w:p>
        </w:tc>
      </w:tr>
      <w:tr>
        <w:tc>
          <w:tcPr>
            <w:tcW w:type="dxa" w:w="1814"/>
            <w:shd w:val="clear" w:color="auto" w:fill="F6F8FB"/>
          </w:tcPr>
          <w:p>
            <w:pPr>
              <w:spacing w:before="80" w:after="40"/>
              <w:jc w:val="center"/>
            </w:pPr>
            <w:r>
              <w:rPr>
                <w:b/>
                <w:color w:val="2B3E8C"/>
                <w:sz w:val="15"/>
              </w:rPr>
              <w:t>Aviation</w:t>
              <w:br/>
              <w:t>GM</w:t>
            </w:r>
          </w:p>
        </w:tc>
        <w:tc>
          <w:tcPr>
            <w:tcW w:type="dxa" w:w="4139"/>
            <w:shd w:val="clear" w:color="auto" w:fill="F0F8F3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Aviation product commercial decisions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Aviation-specific configuration decisions</w:t>
            </w:r>
          </w:p>
        </w:tc>
        <w:tc>
          <w:tcPr>
            <w:tcW w:type="dxa" w:w="4139"/>
            <w:shd w:val="clear" w:color="auto" w:fill="FEF8E8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Engineering Manager — specification or design change</w:t>
            </w:r>
          </w:p>
          <w:p>
            <w:pPr>
              <w:spacing w:before="0" w:after="20"/>
              <w:ind w:left="72"/>
            </w:pPr>
            <w:r>
              <w:rPr>
                <w:color w:val="795500"/>
                <w:sz w:val="15"/>
              </w:rPr>
              <w:t>· Quality Manager — defect response on aviation job</w:t>
            </w:r>
          </w:p>
        </w:tc>
        <w:tc>
          <w:tcPr>
            <w:tcW w:type="dxa" w:w="4706"/>
            <w:shd w:val="clear" w:color="auto" w:fill="FDF2F2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CEO — aviation defect reaching customer (mandatory, same day)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any decision with regulatory impact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pPr>
              <w:spacing w:before="80" w:after="40"/>
              <w:jc w:val="center"/>
            </w:pPr>
            <w:r>
              <w:rPr>
                <w:b/>
                <w:color w:val="7B4F1E"/>
                <w:sz w:val="15"/>
              </w:rPr>
              <w:t>Procurement</w:t>
              <w:br/>
              <w:t>Manager</w:t>
            </w:r>
          </w:p>
        </w:tc>
        <w:tc>
          <w:tcPr>
            <w:tcW w:type="dxa" w:w="4139"/>
            <w:shd w:val="clear" w:color="auto" w:fill="EBF5EF"/>
          </w:tcPr>
          <w:p>
            <w:pPr>
              <w:spacing w:before="40" w:after="20"/>
              <w:ind w:left="72"/>
            </w:pPr>
            <w:r>
              <w:rPr>
                <w:color w:val="1E6B45"/>
                <w:sz w:val="15"/>
              </w:rPr>
              <w:t>· Supplier selection for non-critical materials</w:t>
            </w:r>
          </w:p>
          <w:p>
            <w:pPr>
              <w:spacing w:before="0" w:after="20"/>
              <w:ind w:left="72"/>
            </w:pPr>
            <w:r>
              <w:rPr>
                <w:color w:val="1E6B45"/>
                <w:sz w:val="15"/>
              </w:rPr>
              <w:t>· Emergency purchase within authority threshold</w:t>
            </w:r>
          </w:p>
        </w:tc>
        <w:tc>
          <w:tcPr>
            <w:tcW w:type="dxa" w:w="4139"/>
            <w:shd w:val="clear" w:color="auto" w:fill="FEF3C7"/>
          </w:tcPr>
          <w:p>
            <w:pPr>
              <w:spacing w:before="40" w:after="20"/>
              <w:ind w:left="72"/>
            </w:pPr>
            <w:r>
              <w:rPr>
                <w:color w:val="795500"/>
                <w:sz w:val="15"/>
              </w:rPr>
              <w:t>· Finance Manager — spend authority and emergency purchases</w:t>
            </w:r>
          </w:p>
          <w:p>
            <w:pPr>
              <w:spacing w:before="0" w:after="20"/>
              <w:ind w:left="72"/>
            </w:pPr>
            <w:r>
              <w:rPr>
                <w:color w:val="795500"/>
                <w:sz w:val="15"/>
              </w:rPr>
              <w:t>· Quality Manager — new supplier qualification</w:t>
            </w:r>
          </w:p>
        </w:tc>
        <w:tc>
          <w:tcPr>
            <w:tcW w:type="dxa" w:w="4706"/>
            <w:shd w:val="clear" w:color="auto" w:fill="FDE9E9"/>
          </w:tcPr>
          <w:p>
            <w:pPr>
              <w:spacing w:before="40" w:after="20"/>
              <w:ind w:left="72"/>
            </w:pPr>
            <w:r>
              <w:rPr>
                <w:color w:val="991010"/>
                <w:sz w:val="15"/>
              </w:rPr>
              <w:t>· CEO — supply chain at material risk</w:t>
            </w:r>
          </w:p>
          <w:p>
            <w:pPr>
              <w:spacing w:before="0" w:after="20"/>
              <w:ind w:left="72"/>
            </w:pPr>
            <w:r>
              <w:rPr>
                <w:color w:val="991010"/>
                <w:sz w:val="15"/>
              </w:rPr>
              <w:t>· CEO — spend above defined threshold</w:t>
            </w:r>
          </w:p>
        </w:tc>
      </w:tr>
    </w:tbl>
    <w:p>
      <w:pPr>
        <w:spacing w:before="80" w:after="0"/>
      </w:pPr>
      <w:r>
        <w:rPr>
          <w:b/>
          <w:color w:val="1B3557"/>
          <w:sz w:val="15"/>
        </w:rPr>
        <w:t xml:space="preserve">Rule: </w:t>
      </w:r>
      <w:r>
        <w:rPr>
          <w:color w:val="64748B"/>
          <w:sz w:val="15"/>
        </w:rPr>
        <w:t>If a decision is yours to make — make it. If you need to consult, consult quickly and decide. If you escalate, come with a recommendation — not just a problem. "I didn't know if I could decide" is not a reason for a delayed action.</w:t>
      </w:r>
      <w:r>
        <w:rPr>
          <w:i/>
          <w:color w:val="94A3B8"/>
          <w:sz w:val="14"/>
        </w:rPr>
        <w:t xml:space="preserve">    Managers &amp; Supervisors Briefing 2026  ·  DRAFT v1.0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