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color w:val="5A6278"/>
          <w:sz w:val="18"/>
        </w:rPr>
        <w:t>[Your Company Name]  |  Fuel Infrastructure Solutions</w:t>
      </w:r>
    </w:p>
    <w:p>
      <w:pPr>
        <w:spacing w:after="40"/>
      </w:pPr>
      <w:r>
        <w:rPr>
          <w:b/>
          <w:color w:val="C0392B"/>
          <w:sz w:val="16"/>
        </w:rPr>
        <w:t>EXECUTIVE BRIEFING NOTE</w:t>
      </w:r>
    </w:p>
    <w:p>
      <w:pPr>
        <w:spacing w:after="80"/>
      </w:pPr>
      <w:r>
        <w:rPr>
          <w:b/>
          <w:color w:val="1B2A4A"/>
          <w:sz w:val="40"/>
        </w:rPr>
        <w:t>Bottom Load Fuel Skid Upgrade — Road Tanker Loading Safety</w:t>
      </w:r>
    </w:p>
    <w:p>
      <w:pPr>
        <w:spacing w:after="240"/>
      </w:pPr>
      <w:r>
        <w:rPr>
          <w:color w:val="5A6278"/>
          <w:sz w:val="18"/>
        </w:rPr>
        <w:t xml:space="preserve">  For:  </w:t>
      </w:r>
      <w:r>
        <w:rPr>
          <w:b/>
          <w:color w:val="1B2A4A"/>
          <w:sz w:val="18"/>
        </w:rPr>
        <w:t>[Customer Name]</w:t>
      </w:r>
      <w:r>
        <w:rPr>
          <w:color w:val="5A6278"/>
          <w:sz w:val="18"/>
        </w:rPr>
        <w:t xml:space="preserve">  By:  </w:t>
      </w:r>
      <w:r>
        <w:rPr>
          <w:b/>
          <w:color w:val="1B2A4A"/>
          <w:sz w:val="18"/>
        </w:rPr>
        <w:t>[Your Company Name]</w:t>
      </w:r>
      <w:r>
        <w:rPr>
          <w:color w:val="5A6278"/>
          <w:sz w:val="18"/>
        </w:rPr>
        <w:t xml:space="preserve">  Date:  </w:t>
      </w:r>
      <w:r>
        <w:rPr>
          <w:b/>
          <w:color w:val="1B2A4A"/>
          <w:sz w:val="18"/>
        </w:rPr>
        <w:t>May 2026</w:t>
      </w:r>
      <w:r>
        <w:rPr>
          <w:color w:val="5A6278"/>
          <w:sz w:val="18"/>
        </w:rPr>
        <w:t xml:space="preserve">  Ref:  </w:t>
      </w:r>
      <w:r>
        <w:rPr>
          <w:b/>
          <w:color w:val="1B2A4A"/>
          <w:sz w:val="18"/>
        </w:rPr>
        <w:t>BLS-2026-001-EB</w:t>
      </w:r>
    </w:p>
    <w:p>
      <w:pPr>
        <w:spacing w:before="80" w:after="80"/>
        <w:pBdr>
          <w:bottom w:val="single" w:sz="6" w:space="1" w:color="1B2A4A"/>
        </w:pBdr>
      </w:pPr>
    </w:p>
    <w:p>
      <w:pPr>
        <w:spacing w:before="200" w:after="120"/>
      </w:pPr>
      <w:r>
        <w:rPr>
          <w:b/>
          <w:color w:val="1B2A4A"/>
          <w:sz w:val="26"/>
        </w:rPr>
        <w:t>The Issue in One Paragraph</w:t>
      </w:r>
    </w:p>
    <w:p>
      <w:pPr>
        <w:spacing w:before="80" w:after="80"/>
        <w:pBdr>
          <w:bottom w:val="single" w:sz="6" w:space="1" w:color="1B2A4A"/>
        </w:pBdr>
      </w:pPr>
    </w:p>
    <w:p>
      <w:pPr>
        <w:spacing w:before="40" w:after="120"/>
      </w:pPr>
      <w:r>
        <w:rPr>
          <w:sz w:val="21"/>
        </w:rPr>
        <w:t>[Customer Name]'s current road tanker loading facility uses top-fill loading for diesel and unleaded petrol. Every fill operation simultaneously creates four uncontrolled safety hazards: the risk of tanker overfill, the release of flammable and toxic petrol vapours directly to atmosphere, the risk of electrostatic sparks igniting those vapours, and the requirement for drivers to work at 2.7–3.5 m height every time they load. All four hazards are rated EXTREME under the Australian Standard risk matrix. The facility is non-compliant with AS 1940:2017, the Work Health and Safety Act 2011, and at risk under state dangerous goods and environmental legislation. The tankers are already set up for bottom fill. The solution is available, proven, and straightforward.</w:t>
      </w:r>
    </w:p>
    <w:p>
      <w:pPr>
        <w:spacing w:before="200" w:after="120"/>
      </w:pPr>
      <w:r>
        <w:rPr>
          <w:b/>
          <w:color w:val="1B2A4A"/>
          <w:sz w:val="26"/>
        </w:rPr>
        <w:t>The Four Hazards — At a Glance</w:t>
      </w:r>
    </w:p>
    <w:p>
      <w:pPr>
        <w:spacing w:before="80" w:after="80"/>
        <w:pBdr>
          <w:bottom w:val="single" w:sz="6" w:space="1" w:color="1B2A4A"/>
        </w:pBdr>
      </w:pP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color="auto" w:fill="1B2A4A"/>
          </w:tcPr>
          <w:p>
            <w:r>
              <w:rPr>
                <w:b/>
                <w:color w:val="FFFFFF"/>
                <w:sz w:val="18"/>
              </w:rPr>
              <w:t>Hazard</w:t>
            </w:r>
          </w:p>
        </w:tc>
        <w:tc>
          <w:tcPr>
            <w:tcW w:type="dxa" w:w="3024"/>
            <w:shd w:val="clear" w:color="auto" w:fill="1B2A4A"/>
          </w:tcPr>
          <w:p>
            <w:r>
              <w:rPr>
                <w:b/>
                <w:color w:val="FFFFFF"/>
                <w:sz w:val="18"/>
              </w:rPr>
              <w:t>Current Risk</w:t>
            </w:r>
          </w:p>
        </w:tc>
        <w:tc>
          <w:tcPr>
            <w:tcW w:type="dxa" w:w="3024"/>
            <w:shd w:val="clear" w:color="auto" w:fill="1B2A4A"/>
          </w:tcPr>
          <w:p>
            <w:r>
              <w:rPr>
                <w:b/>
                <w:color w:val="FFFFFF"/>
                <w:sz w:val="18"/>
              </w:rPr>
              <w:t>After Upgrade</w:t>
            </w:r>
          </w:p>
        </w:tc>
      </w:tr>
      <w:tr>
        <w:tc>
          <w:tcPr>
            <w:tcW w:type="dxa" w:w="3024"/>
            <w:shd w:val="clear" w:color="auto" w:fill="FFFFFF"/>
          </w:tcPr>
          <w:p>
            <w:pPr>
              <w:spacing w:before="40" w:after="40"/>
            </w:pPr>
            <w:r>
              <w:rPr>
                <w:b/>
                <w:color w:val="1B2A4A"/>
                <w:sz w:val="18"/>
              </w:rPr>
              <w:t>Overfill</w:t>
            </w:r>
          </w:p>
        </w:tc>
        <w:tc>
          <w:tcPr>
            <w:tcW w:type="dxa" w:w="3024"/>
            <w:shd w:val="clear" w:color="auto" w:fill="FFFFFF"/>
          </w:tcPr>
          <w:p>
            <w:pPr>
              <w:spacing w:before="40" w:after="40"/>
            </w:pPr>
            <w:r>
              <w:rPr>
                <w:b/>
                <w:color w:val="C0392B"/>
                <w:sz w:val="18"/>
              </w:rPr>
              <w:t>EXTREME — operator vigilance only, no auto shut-off</w:t>
            </w:r>
          </w:p>
        </w:tc>
        <w:tc>
          <w:tcPr>
            <w:tcW w:type="dxa" w:w="3024"/>
            <w:shd w:val="clear" w:color="auto" w:fill="FFFFFF"/>
          </w:tcPr>
          <w:p>
            <w:pPr>
              <w:spacing w:before="40" w:after="40"/>
            </w:pPr>
            <w:r>
              <w:rPr>
                <w:b/>
                <w:color w:val="1A7A3F"/>
                <w:sz w:val="18"/>
              </w:rPr>
              <w:t>LOW — automatic OPV + electronic interlock</w:t>
            </w:r>
          </w:p>
        </w:tc>
      </w:tr>
      <w:tr>
        <w:tc>
          <w:tcPr>
            <w:tcW w:type="dxa" w:w="3024"/>
            <w:shd w:val="clear" w:color="auto" w:fill="EAF0FB"/>
          </w:tcPr>
          <w:p>
            <w:pPr>
              <w:spacing w:before="40" w:after="40"/>
            </w:pPr>
            <w:r>
              <w:rPr>
                <w:b/>
                <w:color w:val="1B2A4A"/>
                <w:sz w:val="18"/>
              </w:rPr>
              <w:t>Vapour release</w:t>
            </w:r>
          </w:p>
        </w:tc>
        <w:tc>
          <w:tcPr>
            <w:tcW w:type="dxa" w:w="3024"/>
            <w:shd w:val="clear" w:color="auto" w:fill="EAF0FB"/>
          </w:tcPr>
          <w:p>
            <w:pPr>
              <w:spacing w:before="40" w:after="40"/>
            </w:pPr>
            <w:r>
              <w:rPr>
                <w:b/>
                <w:color w:val="C0392B"/>
                <w:sz w:val="18"/>
              </w:rPr>
              <w:t>EXTREME — open hatch, continuous venting every fill</w:t>
            </w:r>
          </w:p>
        </w:tc>
        <w:tc>
          <w:tcPr>
            <w:tcW w:type="dxa" w:w="3024"/>
            <w:shd w:val="clear" w:color="auto" w:fill="EAF0FB"/>
          </w:tcPr>
          <w:p>
            <w:pPr>
              <w:spacing w:before="40" w:after="40"/>
            </w:pPr>
            <w:r>
              <w:rPr>
                <w:b/>
                <w:color w:val="1A7A3F"/>
                <w:sz w:val="18"/>
              </w:rPr>
              <w:t>LOW — closed system, 95%+ vapour captured &amp; recovered</w:t>
            </w:r>
          </w:p>
        </w:tc>
      </w:tr>
      <w:tr>
        <w:tc>
          <w:tcPr>
            <w:tcW w:type="dxa" w:w="3024"/>
            <w:shd w:val="clear" w:color="auto" w:fill="FFFFFF"/>
          </w:tcPr>
          <w:p>
            <w:pPr>
              <w:spacing w:before="40" w:after="40"/>
            </w:pPr>
            <w:r>
              <w:rPr>
                <w:b/>
                <w:color w:val="1B2A4A"/>
                <w:sz w:val="18"/>
              </w:rPr>
              <w:t>Electrostatic spark</w:t>
            </w:r>
          </w:p>
        </w:tc>
        <w:tc>
          <w:tcPr>
            <w:tcW w:type="dxa" w:w="3024"/>
            <w:shd w:val="clear" w:color="auto" w:fill="FFFFFF"/>
          </w:tcPr>
          <w:p>
            <w:pPr>
              <w:spacing w:before="40" w:after="40"/>
            </w:pPr>
            <w:r>
              <w:rPr>
                <w:b/>
                <w:color w:val="C0392B"/>
                <w:sz w:val="18"/>
              </w:rPr>
              <w:t>EXTREME — manual bonding cable, no interlock, often skipped</w:t>
            </w:r>
          </w:p>
        </w:tc>
        <w:tc>
          <w:tcPr>
            <w:tcW w:type="dxa" w:w="3024"/>
            <w:shd w:val="clear" w:color="auto" w:fill="FFFFFF"/>
          </w:tcPr>
          <w:p>
            <w:pPr>
              <w:spacing w:before="40" w:after="40"/>
            </w:pPr>
            <w:r>
              <w:rPr>
                <w:b/>
                <w:color w:val="1A7A3F"/>
                <w:sz w:val="18"/>
              </w:rPr>
              <w:t>LOW — coded electronic grounding verification with pump interlock</w:t>
            </w:r>
          </w:p>
        </w:tc>
      </w:tr>
      <w:tr>
        <w:tc>
          <w:tcPr>
            <w:tcW w:type="dxa" w:w="3024"/>
            <w:shd w:val="clear" w:color="auto" w:fill="EAF0FB"/>
          </w:tcPr>
          <w:p>
            <w:pPr>
              <w:spacing w:before="40" w:after="40"/>
            </w:pPr>
            <w:r>
              <w:rPr>
                <w:b/>
                <w:color w:val="1B2A4A"/>
                <w:sz w:val="18"/>
              </w:rPr>
              <w:t>Working at height</w:t>
            </w:r>
          </w:p>
        </w:tc>
        <w:tc>
          <w:tcPr>
            <w:tcW w:type="dxa" w:w="3024"/>
            <w:shd w:val="clear" w:color="auto" w:fill="EAF0FB"/>
          </w:tcPr>
          <w:p>
            <w:pPr>
              <w:spacing w:before="40" w:after="40"/>
            </w:pPr>
            <w:r>
              <w:rPr>
                <w:b/>
                <w:color w:val="C0392B"/>
                <w:sz w:val="18"/>
              </w:rPr>
              <w:t>EXTREME — 2.7–3.5 m access required every fill, every day</w:t>
            </w:r>
          </w:p>
        </w:tc>
        <w:tc>
          <w:tcPr>
            <w:tcW w:type="dxa" w:w="3024"/>
            <w:shd w:val="clear" w:color="auto" w:fill="EAF0FB"/>
          </w:tcPr>
          <w:p>
            <w:pPr>
              <w:spacing w:before="40" w:after="40"/>
            </w:pPr>
            <w:r>
              <w:rPr>
                <w:b/>
                <w:color w:val="1A7A3F"/>
                <w:sz w:val="18"/>
              </w:rPr>
              <w:t>LOW — all operations at ground level, fall hazard eliminated</w:t>
            </w:r>
          </w:p>
        </w:tc>
      </w:tr>
    </w:tbl>
    <w:p/>
    <w:p>
      <w:pPr>
        <w:spacing w:before="200" w:after="120"/>
      </w:pPr>
      <w:r>
        <w:rPr>
          <w:b/>
          <w:color w:val="1B2A4A"/>
          <w:sz w:val="26"/>
        </w:rPr>
        <w:t>What Goes In</w:t>
      </w:r>
    </w:p>
    <w:p>
      <w:pPr>
        <w:spacing w:before="80" w:after="80"/>
        <w:pBdr>
          <w:bottom w:val="single" w:sz="6" w:space="1" w:color="1B2A4A"/>
        </w:pBdr>
      </w:pPr>
    </w:p>
    <w:p>
      <w:pPr>
        <w:spacing w:before="40" w:after="120"/>
      </w:pPr>
      <w:r>
        <w:rPr>
          <w:sz w:val="21"/>
        </w:rPr>
        <w:t>A Bottom Load Skid is a ground-level loading station that connects to the tanker from below via a sealed, dry-break API coupler. The tanker remains completely closed throughout the fill. The system includes:</w:t>
      </w:r>
    </w:p>
    <w:p>
      <w:pPr>
        <w:pStyle w:val="ListBullet"/>
        <w:spacing w:after="80"/>
      </w:pPr>
      <w:r>
        <w:rPr>
          <w:b/>
          <w:color w:val="1B2A4A"/>
          <w:sz w:val="20"/>
        </w:rPr>
        <w:t>API dry-break bottom-fill coupler</w:t>
      </w:r>
      <w:r>
        <w:rPr>
          <w:sz w:val="20"/>
        </w:rPr>
        <w:t xml:space="preserve">  — sealed connection, no spill on disconnect</w:t>
      </w:r>
    </w:p>
    <w:p>
      <w:pPr>
        <w:pStyle w:val="ListBullet"/>
        <w:spacing w:after="80"/>
      </w:pPr>
      <w:r>
        <w:rPr>
          <w:b/>
          <w:color w:val="1B2A4A"/>
          <w:sz w:val="20"/>
        </w:rPr>
        <w:t>Automatic overfill prevention (OPV)</w:t>
      </w:r>
      <w:r>
        <w:rPr>
          <w:sz w:val="20"/>
        </w:rPr>
        <w:t xml:space="preserve">  — product stops flowing when compartment is full, automatically</w:t>
      </w:r>
    </w:p>
    <w:p>
      <w:pPr>
        <w:pStyle w:val="ListBullet"/>
        <w:spacing w:after="80"/>
      </w:pPr>
      <w:r>
        <w:rPr>
          <w:b/>
          <w:color w:val="1B2A4A"/>
          <w:sz w:val="20"/>
        </w:rPr>
        <w:t>Vapour recovery system (VRS)</w:t>
      </w:r>
      <w:r>
        <w:rPr>
          <w:sz w:val="20"/>
        </w:rPr>
        <w:t xml:space="preserve">  — displaced vapours return to the storage tank as liquid, not to air</w:t>
      </w:r>
    </w:p>
    <w:p>
      <w:pPr>
        <w:pStyle w:val="ListBullet"/>
        <w:spacing w:after="80"/>
      </w:pPr>
      <w:r>
        <w:rPr>
          <w:b/>
          <w:color w:val="1B2A4A"/>
          <w:sz w:val="20"/>
        </w:rPr>
        <w:t>Electronic grounding verification</w:t>
      </w:r>
      <w:r>
        <w:rPr>
          <w:sz w:val="20"/>
        </w:rPr>
        <w:t xml:space="preserve">  — product cannot flow unless tanker is confirmed grounded; monitored continuously</w:t>
      </w:r>
    </w:p>
    <w:p>
      <w:pPr>
        <w:pStyle w:val="ListBullet"/>
        <w:spacing w:after="80"/>
      </w:pPr>
      <w:r>
        <w:rPr>
          <w:b/>
          <w:color w:val="1B2A4A"/>
          <w:sz w:val="20"/>
        </w:rPr>
        <w:t>Preset metered delivery</w:t>
      </w:r>
      <w:r>
        <w:rPr>
          <w:sz w:val="20"/>
        </w:rPr>
        <w:t xml:space="preserve">  — accurate volume control and stock reconciliation</w:t>
      </w:r>
    </w:p>
    <w:p>
      <w:pPr>
        <w:pStyle w:val="ListBullet"/>
        <w:spacing w:after="80"/>
      </w:pPr>
      <w:r>
        <w:rPr>
          <w:b/>
          <w:color w:val="1B2A4A"/>
          <w:sz w:val="20"/>
        </w:rPr>
        <w:t>Ground-level emergency stop</w:t>
      </w:r>
      <w:r>
        <w:rPr>
          <w:sz w:val="20"/>
        </w:rPr>
        <w:t xml:space="preserve">  — immediate, accessible, at hand</w:t>
      </w:r>
    </w:p>
    <w:p/>
    <w:p>
      <w:pPr>
        <w:spacing w:before="200" w:after="120"/>
      </w:pPr>
      <w:r>
        <w:rPr>
          <w:b/>
          <w:color w:val="1B2A4A"/>
          <w:sz w:val="26"/>
        </w:rPr>
        <w:t>Regulatory Position</w:t>
      </w:r>
    </w:p>
    <w:p>
      <w:pPr>
        <w:spacing w:before="80" w:after="80"/>
        <w:pBdr>
          <w:bottom w:val="single" w:sz="6" w:space="1" w:color="1B2A4A"/>
        </w:pBdr>
      </w:pPr>
    </w:p>
    <w:p>
      <w:pPr>
        <w:spacing w:before="40" w:after="120"/>
      </w:pPr>
      <w:r>
        <w:rPr>
          <w:sz w:val="21"/>
        </w:rPr>
        <w:t>The current system is non-compliant with:</w:t>
      </w:r>
    </w:p>
    <w:p>
      <w:pPr>
        <w:pStyle w:val="ListBullet"/>
        <w:spacing w:after="80"/>
      </w:pPr>
      <w:r>
        <w:rPr>
          <w:b/>
          <w:color w:val="C0392B"/>
          <w:sz w:val="20"/>
        </w:rPr>
        <w:t>AS 1940:2017 Cl. 5.5</w:t>
      </w:r>
      <w:r>
        <w:rPr>
          <w:sz w:val="20"/>
        </w:rPr>
        <w:t xml:space="preserve">  — requires a grounding interlock for tanker loading; a manual cable without an interlock does not satisfy this requirement</w:t>
      </w:r>
    </w:p>
    <w:p>
      <w:pPr>
        <w:pStyle w:val="ListBullet"/>
        <w:spacing w:after="80"/>
      </w:pPr>
      <w:r>
        <w:rPr>
          <w:b/>
          <w:color w:val="C0392B"/>
          <w:sz w:val="20"/>
        </w:rPr>
        <w:t>WHS Act 2011 s.19</w:t>
      </w:r>
      <w:r>
        <w:rPr>
          <w:sz w:val="20"/>
        </w:rPr>
        <w:t xml:space="preserve">  — requires elimination of foreseeable risks where reasonably practicable</w:t>
      </w:r>
    </w:p>
    <w:p>
      <w:pPr>
        <w:pStyle w:val="ListBullet"/>
        <w:spacing w:after="80"/>
      </w:pPr>
      <w:r>
        <w:rPr>
          <w:b/>
          <w:color w:val="C0392B"/>
          <w:sz w:val="20"/>
        </w:rPr>
        <w:t>WHS Regulations 2017 Reg. 78</w:t>
      </w:r>
      <w:r>
        <w:rPr>
          <w:sz w:val="20"/>
        </w:rPr>
        <w:t xml:space="preserve">  — working at height controls (handrails alone may not satisfy this where operators must lean over to access the hatch)</w:t>
      </w:r>
    </w:p>
    <w:p/>
    <w:tbl>
      <w:tblPr>
        <w:tblStyle w:val="TableGrid"/>
        <w:tblW w:type="auto" w:w="0"/>
        <w:tblLook w:firstColumn="1" w:firstRow="1" w:lastColumn="0" w:lastRow="0" w:noHBand="0" w:noVBand="1" w:val="04A0"/>
      </w:tblPr>
      <w:tblGrid>
        <w:gridCol w:w="9072"/>
      </w:tblGrid>
      <w:tr>
        <w:tc>
          <w:tcPr>
            <w:tcW w:type="dxa" w:w="9072"/>
            <w:shd w:val="clear" w:color="auto" w:fill="FEF3CD"/>
          </w:tcPr>
          <w:p>
            <w:pPr>
              <w:spacing w:before="60" w:after="40"/>
            </w:pPr>
            <w:r>
              <w:rPr>
                <w:b/>
                <w:color w:val="D68910"/>
                <w:sz w:val="16"/>
              </w:rPr>
              <w:t>INSURANCE RISK</w:t>
            </w:r>
          </w:p>
          <w:p>
            <w:pPr>
              <w:spacing w:before="0" w:after="80"/>
            </w:pPr>
            <w:r>
              <w:rPr>
                <w:sz w:val="20"/>
              </w:rPr>
              <w:t>Many industrial and public liability insurers now require evidence of AS 1940 compliance as a condition of cover. Facilities found non-compliant at the time of an incident may face claims being declined or coverage voidance.</w:t>
            </w:r>
          </w:p>
        </w:tc>
      </w:tr>
    </w:tbl>
    <w:p/>
    <w:p>
      <w:pPr>
        <w:spacing w:before="200" w:after="120"/>
      </w:pPr>
      <w:r>
        <w:rPr>
          <w:b/>
          <w:color w:val="1B2A4A"/>
          <w:sz w:val="26"/>
        </w:rPr>
        <w:t>Cost Perspective</w:t>
      </w:r>
    </w:p>
    <w:p>
      <w:pPr>
        <w:spacing w:before="80" w:after="80"/>
        <w:pBdr>
          <w:bottom w:val="single" w:sz="6" w:space="1" w:color="1B2A4A"/>
        </w:pBdr>
      </w:pPr>
    </w:p>
    <w:tbl>
      <w:tblPr>
        <w:tblStyle w:val="TableGrid"/>
        <w:tblW w:type="auto" w:w="0"/>
        <w:jc w:val="left"/>
        <w:tblLook w:firstColumn="1" w:firstRow="1" w:lastColumn="0" w:lastRow="0" w:noHBand="0" w:noVBand="1" w:val="04A0"/>
      </w:tblPr>
      <w:tblGrid>
        <w:gridCol w:w="4536"/>
        <w:gridCol w:w="4536"/>
      </w:tblGrid>
      <w:tr>
        <w:tc>
          <w:tcPr>
            <w:tcW w:type="dxa" w:w="4536"/>
            <w:shd w:val="clear" w:color="auto" w:fill="1B2A4A"/>
          </w:tcPr>
          <w:p>
            <w:r>
              <w:rPr>
                <w:b/>
                <w:color w:val="FFFFFF"/>
                <w:sz w:val="18"/>
              </w:rPr>
              <w:t>Item</w:t>
            </w:r>
          </w:p>
        </w:tc>
        <w:tc>
          <w:tcPr>
            <w:tcW w:type="dxa" w:w="4536"/>
            <w:shd w:val="clear" w:color="auto" w:fill="1B2A4A"/>
          </w:tcPr>
          <w:p>
            <w:r>
              <w:rPr>
                <w:b/>
                <w:color w:val="FFFFFF"/>
                <w:sz w:val="18"/>
              </w:rPr>
              <w:t>Range (AUD)</w:t>
            </w:r>
          </w:p>
        </w:tc>
      </w:tr>
      <w:tr>
        <w:tc>
          <w:tcPr>
            <w:tcW w:type="dxa" w:w="4536"/>
            <w:shd w:val="clear" w:color="auto" w:fill="FFFFFF"/>
          </w:tcPr>
          <w:p>
            <w:pPr>
              <w:spacing w:before="40" w:after="40"/>
            </w:pPr>
            <w:r>
              <w:rPr>
                <w:sz w:val="18"/>
              </w:rPr>
              <w:t>Bottom-load skid system — 2 to 4 bays, installed</w:t>
            </w:r>
          </w:p>
        </w:tc>
        <w:tc>
          <w:tcPr>
            <w:tcW w:type="dxa" w:w="4536"/>
            <w:shd w:val="clear" w:color="auto" w:fill="FFFFFF"/>
          </w:tcPr>
          <w:p>
            <w:pPr>
              <w:spacing w:before="40" w:after="40"/>
            </w:pPr>
            <w:r>
              <w:rPr>
                <w:sz w:val="18"/>
              </w:rPr>
              <w:t>$180,000 – $450,000</w:t>
            </w:r>
          </w:p>
        </w:tc>
      </w:tr>
      <w:tr>
        <w:tc>
          <w:tcPr>
            <w:tcW w:type="dxa" w:w="4536"/>
            <w:shd w:val="clear" w:color="auto" w:fill="EAF0FB"/>
          </w:tcPr>
          <w:p>
            <w:pPr>
              <w:spacing w:before="40" w:after="40"/>
            </w:pPr>
            <w:r>
              <w:rPr>
                <w:b/>
                <w:color w:val="C0392B"/>
                <w:sz w:val="18"/>
              </w:rPr>
              <w:t>Single WHS Category 1 prosecution penalty</w:t>
            </w:r>
          </w:p>
        </w:tc>
        <w:tc>
          <w:tcPr>
            <w:tcW w:type="dxa" w:w="4536"/>
            <w:shd w:val="clear" w:color="auto" w:fill="EAF0FB"/>
          </w:tcPr>
          <w:p>
            <w:pPr>
              <w:spacing w:before="40" w:after="40"/>
            </w:pPr>
            <w:r>
              <w:rPr>
                <w:b/>
                <w:color w:val="C0392B"/>
                <w:sz w:val="18"/>
              </w:rPr>
              <w:t>Up to $3,000,000</w:t>
            </w:r>
          </w:p>
        </w:tc>
      </w:tr>
      <w:tr>
        <w:tc>
          <w:tcPr>
            <w:tcW w:type="dxa" w:w="4536"/>
            <w:shd w:val="clear" w:color="auto" w:fill="FFFFFF"/>
          </w:tcPr>
          <w:p>
            <w:pPr>
              <w:spacing w:before="40" w:after="40"/>
            </w:pPr>
            <w:r>
              <w:rPr>
                <w:b/>
                <w:color w:val="C0392B"/>
                <w:sz w:val="18"/>
              </w:rPr>
              <w:t>Tanker fire / facility loss</w:t>
            </w:r>
          </w:p>
        </w:tc>
        <w:tc>
          <w:tcPr>
            <w:tcW w:type="dxa" w:w="4536"/>
            <w:shd w:val="clear" w:color="auto" w:fill="FFFFFF"/>
          </w:tcPr>
          <w:p>
            <w:pPr>
              <w:spacing w:before="40" w:after="40"/>
            </w:pPr>
            <w:r>
              <w:rPr>
                <w:b/>
                <w:color w:val="C0392B"/>
                <w:sz w:val="18"/>
              </w:rPr>
              <w:t>$500,000 – $10,000,000+</w:t>
            </w:r>
          </w:p>
        </w:tc>
      </w:tr>
      <w:tr>
        <w:tc>
          <w:tcPr>
            <w:tcW w:type="dxa" w:w="4536"/>
            <w:shd w:val="clear" w:color="auto" w:fill="EAF0FB"/>
          </w:tcPr>
          <w:p>
            <w:pPr>
              <w:spacing w:before="40" w:after="40"/>
            </w:pPr>
            <w:r>
              <w:rPr>
                <w:b/>
                <w:color w:val="C0392B"/>
                <w:sz w:val="18"/>
              </w:rPr>
              <w:t>Environmental prosecution + remediation</w:t>
            </w:r>
          </w:p>
        </w:tc>
        <w:tc>
          <w:tcPr>
            <w:tcW w:type="dxa" w:w="4536"/>
            <w:shd w:val="clear" w:color="auto" w:fill="EAF0FB"/>
          </w:tcPr>
          <w:p>
            <w:pPr>
              <w:spacing w:before="40" w:after="40"/>
            </w:pPr>
            <w:r>
              <w:rPr>
                <w:b/>
                <w:color w:val="C0392B"/>
                <w:sz w:val="18"/>
              </w:rPr>
              <w:t>$25,000 – $1,000,000+</w:t>
            </w:r>
          </w:p>
        </w:tc>
      </w:tr>
      <w:tr>
        <w:tc>
          <w:tcPr>
            <w:tcW w:type="dxa" w:w="4536"/>
            <w:shd w:val="clear" w:color="auto" w:fill="FFFFFF"/>
          </w:tcPr>
          <w:p>
            <w:pPr>
              <w:spacing w:before="40" w:after="40"/>
            </w:pPr>
            <w:r>
              <w:rPr>
                <w:sz w:val="18"/>
              </w:rPr>
              <w:t>Ongoing product loss — vapour &amp; overfill (per year)</w:t>
            </w:r>
          </w:p>
        </w:tc>
        <w:tc>
          <w:tcPr>
            <w:tcW w:type="dxa" w:w="4536"/>
            <w:shd w:val="clear" w:color="auto" w:fill="FFFFFF"/>
          </w:tcPr>
          <w:p>
            <w:pPr>
              <w:spacing w:before="40" w:after="40"/>
            </w:pPr>
            <w:r>
              <w:rPr>
                <w:sz w:val="18"/>
              </w:rPr>
              <w:t>$5,000 – $40,000 per year</w:t>
            </w:r>
          </w:p>
        </w:tc>
      </w:tr>
    </w:tbl>
    <w:p/>
    <w:p>
      <w:pPr>
        <w:spacing w:before="40" w:after="120"/>
      </w:pPr>
      <w:r>
        <w:rPr>
          <w:sz w:val="21"/>
        </w:rPr>
        <w:t>The upgrade cost is a one-time, planned capital investment. The alternative is a much larger, unplanned, and potentially uninsured liability.</w:t>
      </w:r>
    </w:p>
    <w:p>
      <w:pPr>
        <w:spacing w:before="200" w:after="120"/>
      </w:pPr>
      <w:r>
        <w:rPr>
          <w:b/>
          <w:color w:val="1B2A4A"/>
          <w:sz w:val="26"/>
        </w:rPr>
        <w:t>What Happens Next</w:t>
      </w:r>
    </w:p>
    <w:p>
      <w:pPr>
        <w:spacing w:before="80" w:after="80"/>
        <w:pBdr>
          <w:bottom w:val="single" w:sz="6" w:space="1" w:color="1B2A4A"/>
        </w:pBdr>
      </w:pPr>
    </w:p>
    <w:p>
      <w:pPr>
        <w:spacing w:before="40" w:after="60"/>
      </w:pPr>
      <w:r>
        <w:rPr>
          <w:b/>
          <w:color w:val="1B2A4A"/>
          <w:sz w:val="21"/>
        </w:rPr>
        <w:t xml:space="preserve">1.  </w:t>
      </w:r>
      <w:r>
        <w:rPr>
          <w:b/>
          <w:color w:val="1B2A4A"/>
          <w:sz w:val="21"/>
        </w:rPr>
        <w:t>Authorise a site survey</w:t>
      </w:r>
      <w:r>
        <w:rPr>
          <w:sz w:val="21"/>
        </w:rPr>
        <w:t xml:space="preserve"> — [Your Company Name] attends site to confirm scope — typically 1 day</w:t>
      </w:r>
    </w:p>
    <w:p>
      <w:pPr>
        <w:spacing w:before="40" w:after="60"/>
      </w:pPr>
      <w:r>
        <w:rPr>
          <w:b/>
          <w:color w:val="1B2A4A"/>
          <w:sz w:val="21"/>
        </w:rPr>
        <w:t xml:space="preserve">2.  </w:t>
      </w:r>
      <w:r>
        <w:rPr>
          <w:b/>
          <w:color w:val="1B2A4A"/>
          <w:sz w:val="21"/>
        </w:rPr>
        <w:t>Detailed design and fixed-price quotation</w:t>
      </w:r>
      <w:r>
        <w:rPr>
          <w:sz w:val="21"/>
        </w:rPr>
        <w:t xml:space="preserve"> — prepared within 2–3 weeks of survey</w:t>
      </w:r>
    </w:p>
    <w:p>
      <w:pPr>
        <w:spacing w:before="40" w:after="60"/>
      </w:pPr>
      <w:r>
        <w:rPr>
          <w:b/>
          <w:color w:val="1B2A4A"/>
          <w:sz w:val="21"/>
        </w:rPr>
        <w:t xml:space="preserve">3.  </w:t>
      </w:r>
      <w:r>
        <w:rPr>
          <w:b/>
          <w:color w:val="1B2A4A"/>
          <w:sz w:val="21"/>
        </w:rPr>
        <w:t>Equipment ordered</w:t>
      </w:r>
      <w:r>
        <w:rPr>
          <w:sz w:val="21"/>
        </w:rPr>
        <w:t xml:space="preserve"> — lead time typically 8–14 weeks for fabricated skids</w:t>
      </w:r>
    </w:p>
    <w:p>
      <w:pPr>
        <w:spacing w:before="40" w:after="60"/>
      </w:pPr>
      <w:r>
        <w:rPr>
          <w:b/>
          <w:color w:val="1B2A4A"/>
          <w:sz w:val="21"/>
        </w:rPr>
        <w:t xml:space="preserve">4.  </w:t>
      </w:r>
      <w:r>
        <w:rPr>
          <w:b/>
          <w:color w:val="1B2A4A"/>
          <w:sz w:val="21"/>
        </w:rPr>
        <w:t>Installation</w:t>
      </w:r>
      <w:r>
        <w:rPr>
          <w:sz w:val="21"/>
        </w:rPr>
        <w:t xml:space="preserve"> — coordinated bay-by-bay to maintain throughput during works</w:t>
      </w:r>
    </w:p>
    <w:p>
      <w:pPr>
        <w:spacing w:before="40" w:after="60"/>
      </w:pPr>
      <w:r>
        <w:rPr>
          <w:b/>
          <w:color w:val="1B2A4A"/>
          <w:sz w:val="21"/>
        </w:rPr>
        <w:t xml:space="preserve">5.  </w:t>
      </w:r>
      <w:r>
        <w:rPr>
          <w:b/>
          <w:color w:val="1B2A4A"/>
          <w:sz w:val="21"/>
        </w:rPr>
        <w:t>Commissioning, operator training, and handover documentation</w:t>
      </w:r>
      <w:r>
        <w:rPr>
          <w:sz w:val="21"/>
        </w:rPr>
        <w:t xml:space="preserve"> — included</w:t>
      </w:r>
    </w:p>
    <w:p/>
    <w:tbl>
      <w:tblPr>
        <w:tblStyle w:val="TableGrid"/>
        <w:tblW w:type="auto" w:w="0"/>
        <w:tblLook w:firstColumn="1" w:firstRow="1" w:lastColumn="0" w:lastRow="0" w:noHBand="0" w:noVBand="1" w:val="04A0"/>
      </w:tblPr>
      <w:tblGrid>
        <w:gridCol w:w="9072"/>
      </w:tblGrid>
      <w:tr>
        <w:tc>
          <w:tcPr>
            <w:tcW w:type="dxa" w:w="9072"/>
            <w:shd w:val="clear" w:color="auto" w:fill="D4EDDA"/>
          </w:tcPr>
          <w:p>
            <w:pPr>
              <w:spacing w:before="60" w:after="40"/>
            </w:pPr>
            <w:r>
              <w:rPr>
                <w:b/>
                <w:color w:val="1A7A3F"/>
                <w:sz w:val="16"/>
              </w:rPr>
              <w:t>BOTTOM LINE</w:t>
            </w:r>
          </w:p>
          <w:p>
            <w:pPr>
              <w:spacing w:before="0" w:after="80"/>
            </w:pPr>
            <w:r>
              <w:rPr>
                <w:sz w:val="20"/>
              </w:rPr>
              <w:t>The risk is real, the liability is current, and the solution is available. The tankers are already equipped for bottom fill. The question is not whether to upgrade — it is when.</w:t>
              <w:br/>
              <w:br/>
              <w:t>Contact [Your Company Name] to arrange a site survey.</w:t>
            </w:r>
          </w:p>
        </w:tc>
      </w:tr>
    </w:tbl>
    <w:p/>
    <w:p>
      <w:pPr>
        <w:spacing w:before="320"/>
        <w:pBdr>
          <w:top w:val="single" w:sz="4" w:space="1" w:color="5A6278"/>
        </w:pBdr>
      </w:pPr>
      <w:r>
        <w:rPr>
          <w:color w:val="5A6278"/>
          <w:sz w:val="16"/>
        </w:rPr>
        <w:t>BLS-2026-001-EB  |  [Your Company Name]  |  May 2026  |  Commercial in Confidence</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