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664"/>
          <w:sz w:val="44"/>
        </w:rPr>
        <w:t>Quality System — Baseline Analysis &amp; Data Improvement Plan</w:t>
      </w:r>
    </w:p>
    <w:p>
      <w:pPr>
        <w:jc w:val="center"/>
      </w:pPr>
      <w:r>
        <w:rPr>
          <w:i/>
          <w:color w:val="2E74B5"/>
          <w:sz w:val="24"/>
        </w:rPr>
        <w:t>Aviation Manufacturing  |  June 2026  |  Internal Working Document</w:t>
      </w:r>
    </w:p>
    <w:p/>
    <w:p>
      <w:pPr>
        <w:pStyle w:val="Heading1"/>
      </w:pPr>
      <w:r>
        <w:rPr>
          <w:color w:val="1F3664"/>
          <w:sz w:val="32"/>
        </w:rPr>
        <w:t>Purpose</w:t>
      </w:r>
    </w:p>
    <w:p>
      <w:r>
        <w:t>This document establishes a baseline of quality performance using repair action data captured to June 2026, identifies hotspots by cell, defect type, and job, and defines specific improvements to data collection so that future analysis is faster, more accurate, and more actionable.</w:t>
      </w:r>
    </w:p>
    <w:p>
      <w:pPr>
        <w:pStyle w:val="Heading1"/>
      </w:pPr>
      <w:r>
        <w:rPr>
          <w:color w:val="1F3664"/>
          <w:sz w:val="32"/>
        </w:rPr>
        <w:t>Section 1 — Dataset Overview</w:t>
      </w:r>
    </w:p>
    <w:tbl>
      <w:tblPr>
        <w:tblStyle w:val="TableGrid"/>
        <w:tblW w:type="auto" w:w="0"/>
        <w:tblLook w:firstColumn="1" w:firstRow="1" w:lastColumn="0" w:lastRow="0" w:noHBand="0" w:noVBand="1" w:val="04A0"/>
      </w:tblPr>
      <w:tblGrid>
        <w:gridCol w:w="4703"/>
        <w:gridCol w:w="4703"/>
      </w:tblGrid>
      <w:tr>
        <w:tc>
          <w:tcPr>
            <w:tcW w:type="dxa" w:w="4703"/>
            <w:shd w:val="clear" w:color="auto" w:fill="1F3664"/>
          </w:tcPr>
          <w:p>
            <w:r>
              <w:rPr>
                <w:b/>
                <w:color w:val="FFFFFF"/>
                <w:sz w:val="20"/>
              </w:rPr>
              <w:t>Metric</w:t>
            </w:r>
          </w:p>
        </w:tc>
        <w:tc>
          <w:tcPr>
            <w:tcW w:type="dxa" w:w="4703"/>
            <w:shd w:val="clear" w:color="auto" w:fill="1F3664"/>
          </w:tcPr>
          <w:p>
            <w:r>
              <w:rPr>
                <w:b/>
                <w:color w:val="FFFFFF"/>
                <w:sz w:val="20"/>
              </w:rPr>
              <w:t>Value</w:t>
            </w:r>
          </w:p>
        </w:tc>
      </w:tr>
      <w:tr>
        <w:tc>
          <w:tcPr>
            <w:tcW w:type="dxa" w:w="4703"/>
          </w:tcPr>
          <w:p>
            <w:r>
              <w:rPr>
                <w:sz w:val="20"/>
              </w:rPr>
              <w:t>Total repair actions analysed</w:t>
            </w:r>
          </w:p>
        </w:tc>
        <w:tc>
          <w:tcPr>
            <w:tcW w:type="dxa" w:w="4703"/>
          </w:tcPr>
          <w:p>
            <w:r>
              <w:rPr>
                <w:sz w:val="20"/>
              </w:rPr>
              <w:t>4,964</w:t>
            </w:r>
          </w:p>
        </w:tc>
      </w:tr>
      <w:tr>
        <w:tc>
          <w:tcPr>
            <w:tcW w:type="dxa" w:w="4703"/>
            <w:shd w:val="clear" w:color="auto" w:fill="DCE6F1"/>
          </w:tcPr>
          <w:p>
            <w:r>
              <w:rPr>
                <w:sz w:val="20"/>
              </w:rPr>
              <w:t>Date range</w:t>
            </w:r>
          </w:p>
        </w:tc>
        <w:tc>
          <w:tcPr>
            <w:tcW w:type="dxa" w:w="4703"/>
            <w:shd w:val="clear" w:color="auto" w:fill="DCE6F1"/>
          </w:tcPr>
          <w:p>
            <w:r>
              <w:rPr>
                <w:sz w:val="20"/>
              </w:rPr>
              <w:t>September 2024 – June 2026</w:t>
            </w:r>
          </w:p>
        </w:tc>
      </w:tr>
      <w:tr>
        <w:tc>
          <w:tcPr>
            <w:tcW w:type="dxa" w:w="4703"/>
          </w:tcPr>
          <w:p>
            <w:r>
              <w:rPr>
                <w:sz w:val="20"/>
              </w:rPr>
              <w:t>Primary site</w:t>
            </w:r>
          </w:p>
        </w:tc>
        <w:tc>
          <w:tcPr>
            <w:tcW w:type="dxa" w:w="4703"/>
          </w:tcPr>
          <w:p>
            <w:r>
              <w:rPr>
                <w:sz w:val="20"/>
              </w:rPr>
              <w:t>Aviation (4,127) and Offline Aviation (789)</w:t>
            </w:r>
          </w:p>
        </w:tc>
      </w:tr>
      <w:tr>
        <w:tc>
          <w:tcPr>
            <w:tcW w:type="dxa" w:w="4703"/>
            <w:shd w:val="clear" w:color="auto" w:fill="DCE6F1"/>
          </w:tcPr>
          <w:p>
            <w:r>
              <w:rPr>
                <w:sz w:val="20"/>
              </w:rPr>
              <w:t>Status: Complete</w:t>
            </w:r>
          </w:p>
        </w:tc>
        <w:tc>
          <w:tcPr>
            <w:tcW w:type="dxa" w:w="4703"/>
            <w:shd w:val="clear" w:color="auto" w:fill="DCE6F1"/>
          </w:tcPr>
          <w:p>
            <w:r>
              <w:rPr>
                <w:sz w:val="20"/>
              </w:rPr>
              <w:t>4,206 (85%)</w:t>
            </w:r>
          </w:p>
        </w:tc>
      </w:tr>
      <w:tr>
        <w:tc>
          <w:tcPr>
            <w:tcW w:type="dxa" w:w="4703"/>
          </w:tcPr>
          <w:p>
            <w:r>
              <w:rPr>
                <w:sz w:val="20"/>
              </w:rPr>
              <w:t>Status: To Do (open)</w:t>
            </w:r>
          </w:p>
        </w:tc>
        <w:tc>
          <w:tcPr>
            <w:tcW w:type="dxa" w:w="4703"/>
          </w:tcPr>
          <w:p>
            <w:r>
              <w:rPr>
                <w:sz w:val="20"/>
              </w:rPr>
              <w:t>166</w:t>
            </w:r>
          </w:p>
        </w:tc>
      </w:tr>
      <w:tr>
        <w:tc>
          <w:tcPr>
            <w:tcW w:type="dxa" w:w="4703"/>
            <w:shd w:val="clear" w:color="auto" w:fill="DCE6F1"/>
          </w:tcPr>
          <w:p>
            <w:r>
              <w:rPr>
                <w:sz w:val="20"/>
              </w:rPr>
              <w:t>Status: Pending PCA / post-ship</w:t>
            </w:r>
          </w:p>
        </w:tc>
        <w:tc>
          <w:tcPr>
            <w:tcW w:type="dxa" w:w="4703"/>
            <w:shd w:val="clear" w:color="auto" w:fill="DCE6F1"/>
          </w:tcPr>
          <w:p>
            <w:r>
              <w:rPr>
                <w:sz w:val="20"/>
              </w:rPr>
              <w:t>53</w:t>
            </w:r>
          </w:p>
        </w:tc>
      </w:tr>
      <w:tr>
        <w:tc>
          <w:tcPr>
            <w:tcW w:type="dxa" w:w="4703"/>
          </w:tcPr>
          <w:p>
            <w:r>
              <w:rPr>
                <w:sz w:val="20"/>
              </w:rPr>
              <w:t>Status: Won't Do / Hold / Duplicate</w:t>
            </w:r>
          </w:p>
        </w:tc>
        <w:tc>
          <w:tcPr>
            <w:tcW w:type="dxa" w:w="4703"/>
          </w:tcPr>
          <w:p>
            <w:r>
              <w:rPr>
                <w:sz w:val="20"/>
              </w:rPr>
              <w:t>539</w:t>
            </w:r>
          </w:p>
        </w:tc>
      </w:tr>
    </w:tbl>
    <w:p/>
    <w:p>
      <w:pPr>
        <w:spacing w:before="80" w:after="160"/>
        <w:ind w:left="454"/>
      </w:pPr>
      <w:r>
        <w:rPr>
          <w:i/>
          <w:color w:val="2E74B5"/>
          <w:sz w:val="20"/>
        </w:rPr>
        <w:t>► 539 "Won't Do / Hold / Duplicate" records should be audited — some may be deferred issues never properly resolved.</w:t>
      </w:r>
    </w:p>
    <w:p>
      <w:pPr>
        <w:pStyle w:val="Heading1"/>
      </w:pPr>
      <w:r>
        <w:rPr>
          <w:color w:val="1F3664"/>
          <w:sz w:val="32"/>
        </w:rPr>
        <w:t>Section 2 — Volume Trend</w:t>
      </w:r>
    </w:p>
    <w:p>
      <w:r>
        <w:t>Repair action volume has grown 72% over 18 months — faster than business growth alone. The process is not keeping pace with scale.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664"/>
          </w:tcPr>
          <w:p>
            <w:r>
              <w:rPr>
                <w:b/>
                <w:color w:val="FFFFFF"/>
                <w:sz w:val="20"/>
              </w:rPr>
              <w:t>Month</w:t>
            </w:r>
          </w:p>
        </w:tc>
        <w:tc>
          <w:tcPr>
            <w:tcW w:type="dxa" w:w="2351"/>
            <w:shd w:val="clear" w:color="auto" w:fill="1F3664"/>
          </w:tcPr>
          <w:p>
            <w:r>
              <w:rPr>
                <w:b/>
                <w:color w:val="FFFFFF"/>
                <w:sz w:val="20"/>
              </w:rPr>
              <w:t>Actions</w:t>
            </w:r>
          </w:p>
        </w:tc>
        <w:tc>
          <w:tcPr>
            <w:tcW w:type="dxa" w:w="2351"/>
            <w:shd w:val="clear" w:color="auto" w:fill="1F3664"/>
          </w:tcPr>
          <w:p>
            <w:r>
              <w:rPr>
                <w:b/>
                <w:color w:val="FFFFFF"/>
                <w:sz w:val="20"/>
              </w:rPr>
              <w:t>Month</w:t>
            </w:r>
          </w:p>
        </w:tc>
        <w:tc>
          <w:tcPr>
            <w:tcW w:type="dxa" w:w="2351"/>
            <w:shd w:val="clear" w:color="auto" w:fill="1F3664"/>
          </w:tcPr>
          <w:p>
            <w:r>
              <w:rPr>
                <w:b/>
                <w:color w:val="FFFFFF"/>
                <w:sz w:val="20"/>
              </w:rPr>
              <w:t>Actions</w:t>
            </w:r>
          </w:p>
        </w:tc>
      </w:tr>
      <w:tr>
        <w:tc>
          <w:tcPr>
            <w:tcW w:type="dxa" w:w="2351"/>
          </w:tcPr>
          <w:p>
            <w:r>
              <w:rPr>
                <w:sz w:val="20"/>
              </w:rPr>
              <w:t>Oct 2024</w:t>
            </w:r>
          </w:p>
        </w:tc>
        <w:tc>
          <w:tcPr>
            <w:tcW w:type="dxa" w:w="2351"/>
          </w:tcPr>
          <w:p>
            <w:r>
              <w:rPr>
                <w:sz w:val="20"/>
              </w:rPr>
              <w:t>210</w:t>
            </w:r>
          </w:p>
        </w:tc>
        <w:tc>
          <w:tcPr>
            <w:tcW w:type="dxa" w:w="2351"/>
          </w:tcPr>
          <w:p>
            <w:r>
              <w:rPr>
                <w:sz w:val="20"/>
              </w:rPr>
              <w:t>Jan 2026</w:t>
            </w:r>
          </w:p>
        </w:tc>
        <w:tc>
          <w:tcPr>
            <w:tcW w:type="dxa" w:w="2351"/>
          </w:tcPr>
          <w:p>
            <w:r>
              <w:rPr>
                <w:sz w:val="20"/>
              </w:rPr>
              <w:t>309</w:t>
            </w:r>
          </w:p>
        </w:tc>
      </w:tr>
      <w:tr>
        <w:tc>
          <w:tcPr>
            <w:tcW w:type="dxa" w:w="2351"/>
            <w:shd w:val="clear" w:color="auto" w:fill="DCE6F1"/>
          </w:tcPr>
          <w:p>
            <w:r>
              <w:rPr>
                <w:sz w:val="20"/>
              </w:rPr>
              <w:t>Nov 2024</w:t>
            </w:r>
          </w:p>
        </w:tc>
        <w:tc>
          <w:tcPr>
            <w:tcW w:type="dxa" w:w="2351"/>
            <w:shd w:val="clear" w:color="auto" w:fill="DCE6F1"/>
          </w:tcPr>
          <w:p>
            <w:r>
              <w:rPr>
                <w:sz w:val="20"/>
              </w:rPr>
              <w:t>154</w:t>
            </w:r>
          </w:p>
        </w:tc>
        <w:tc>
          <w:tcPr>
            <w:tcW w:type="dxa" w:w="2351"/>
            <w:shd w:val="clear" w:color="auto" w:fill="DCE6F1"/>
          </w:tcPr>
          <w:p>
            <w:r>
              <w:rPr>
                <w:sz w:val="20"/>
              </w:rPr>
              <w:t>Feb 2026</w:t>
            </w:r>
          </w:p>
        </w:tc>
        <w:tc>
          <w:tcPr>
            <w:tcW w:type="dxa" w:w="2351"/>
            <w:shd w:val="clear" w:color="auto" w:fill="DCE6F1"/>
          </w:tcPr>
          <w:p>
            <w:r>
              <w:rPr>
                <w:sz w:val="20"/>
              </w:rPr>
              <w:t>344</w:t>
            </w:r>
          </w:p>
        </w:tc>
      </w:tr>
      <w:tr>
        <w:tc>
          <w:tcPr>
            <w:tcW w:type="dxa" w:w="2351"/>
          </w:tcPr>
          <w:p>
            <w:r>
              <w:rPr>
                <w:sz w:val="20"/>
              </w:rPr>
              <w:t>Dec 2024</w:t>
            </w:r>
          </w:p>
        </w:tc>
        <w:tc>
          <w:tcPr>
            <w:tcW w:type="dxa" w:w="2351"/>
          </w:tcPr>
          <w:p>
            <w:r>
              <w:rPr>
                <w:sz w:val="20"/>
              </w:rPr>
              <w:t>128</w:t>
            </w:r>
          </w:p>
        </w:tc>
        <w:tc>
          <w:tcPr>
            <w:tcW w:type="dxa" w:w="2351"/>
          </w:tcPr>
          <w:p>
            <w:r>
              <w:rPr>
                <w:sz w:val="20"/>
              </w:rPr>
              <w:t>Mar 2026</w:t>
            </w:r>
          </w:p>
        </w:tc>
        <w:tc>
          <w:tcPr>
            <w:tcW w:type="dxa" w:w="2351"/>
          </w:tcPr>
          <w:p>
            <w:r>
              <w:rPr>
                <w:sz w:val="20"/>
              </w:rPr>
              <w:t>362 ← peak</w:t>
            </w:r>
          </w:p>
        </w:tc>
      </w:tr>
      <w:tr>
        <w:tc>
          <w:tcPr>
            <w:tcW w:type="dxa" w:w="2351"/>
            <w:shd w:val="clear" w:color="auto" w:fill="DCE6F1"/>
          </w:tcPr>
          <w:p>
            <w:r>
              <w:rPr>
                <w:sz w:val="20"/>
              </w:rPr>
              <w:t>Jan 2025</w:t>
            </w:r>
          </w:p>
        </w:tc>
        <w:tc>
          <w:tcPr>
            <w:tcW w:type="dxa" w:w="2351"/>
            <w:shd w:val="clear" w:color="auto" w:fill="DCE6F1"/>
          </w:tcPr>
          <w:p>
            <w:r>
              <w:rPr>
                <w:sz w:val="20"/>
              </w:rPr>
              <w:t>215</w:t>
            </w:r>
          </w:p>
        </w:tc>
        <w:tc>
          <w:tcPr>
            <w:tcW w:type="dxa" w:w="2351"/>
            <w:shd w:val="clear" w:color="auto" w:fill="DCE6F1"/>
          </w:tcPr>
          <w:p>
            <w:r>
              <w:rPr>
                <w:sz w:val="20"/>
              </w:rPr>
              <w:t>Apr 2026</w:t>
            </w:r>
          </w:p>
        </w:tc>
        <w:tc>
          <w:tcPr>
            <w:tcW w:type="dxa" w:w="2351"/>
            <w:shd w:val="clear" w:color="auto" w:fill="DCE6F1"/>
          </w:tcPr>
          <w:p>
            <w:r>
              <w:rPr>
                <w:sz w:val="20"/>
              </w:rPr>
              <w:t>276</w:t>
            </w:r>
          </w:p>
        </w:tc>
      </w:tr>
      <w:tr>
        <w:tc>
          <w:tcPr>
            <w:tcW w:type="dxa" w:w="2351"/>
          </w:tcPr>
          <w:p>
            <w:r>
              <w:rPr>
                <w:sz w:val="20"/>
              </w:rPr>
              <w:t>Feb 2025</w:t>
            </w:r>
          </w:p>
        </w:tc>
        <w:tc>
          <w:tcPr>
            <w:tcW w:type="dxa" w:w="2351"/>
          </w:tcPr>
          <w:p>
            <w:r>
              <w:rPr>
                <w:sz w:val="20"/>
              </w:rPr>
              <w:t>226</w:t>
            </w:r>
          </w:p>
        </w:tc>
        <w:tc>
          <w:tcPr>
            <w:tcW w:type="dxa" w:w="2351"/>
          </w:tcPr>
          <w:p>
            <w:r>
              <w:rPr>
                <w:sz w:val="20"/>
              </w:rPr>
              <w:t>May 2026</w:t>
            </w:r>
          </w:p>
        </w:tc>
        <w:tc>
          <w:tcPr>
            <w:tcW w:type="dxa" w:w="2351"/>
          </w:tcPr>
          <w:p>
            <w:r>
              <w:rPr>
                <w:sz w:val="20"/>
              </w:rPr>
              <w:t>249</w:t>
            </w:r>
          </w:p>
        </w:tc>
      </w:tr>
      <w:tr>
        <w:tc>
          <w:tcPr>
            <w:tcW w:type="dxa" w:w="2351"/>
            <w:shd w:val="clear" w:color="auto" w:fill="DCE6F1"/>
          </w:tcPr>
          <w:p>
            <w:r>
              <w:rPr>
                <w:sz w:val="20"/>
              </w:rPr>
              <w:t>Mar 2025</w:t>
            </w:r>
          </w:p>
        </w:tc>
        <w:tc>
          <w:tcPr>
            <w:tcW w:type="dxa" w:w="2351"/>
            <w:shd w:val="clear" w:color="auto" w:fill="DCE6F1"/>
          </w:tcPr>
          <w:p>
            <w:r>
              <w:rPr>
                <w:sz w:val="20"/>
              </w:rPr>
              <w:t>267</w:t>
            </w:r>
          </w:p>
        </w:tc>
        <w:tc>
          <w:tcPr>
            <w:tcW w:type="dxa" w:w="2351"/>
            <w:shd w:val="clear" w:color="auto" w:fill="DCE6F1"/>
          </w:tcPr>
          <w:p>
            <w:r>
              <w:rPr>
                <w:sz w:val="20"/>
              </w:rPr>
              <w:t>Jun 2026</w:t>
            </w:r>
          </w:p>
        </w:tc>
        <w:tc>
          <w:tcPr>
            <w:tcW w:type="dxa" w:w="2351"/>
            <w:shd w:val="clear" w:color="auto" w:fill="DCE6F1"/>
          </w:tcPr>
          <w:p>
            <w:r>
              <w:rPr>
                <w:sz w:val="20"/>
              </w:rPr>
              <w:t>195</w:t>
            </w:r>
          </w:p>
        </w:tc>
      </w:tr>
      <w:tr>
        <w:tc>
          <w:tcPr>
            <w:tcW w:type="dxa" w:w="2351"/>
          </w:tcPr>
          <w:p>
            <w:r>
              <w:rPr>
                <w:sz w:val="20"/>
              </w:rPr>
              <w:t>Jul 2025</w:t>
            </w:r>
          </w:p>
        </w:tc>
        <w:tc>
          <w:tcPr>
            <w:tcW w:type="dxa" w:w="2351"/>
          </w:tcPr>
          <w:p>
            <w:r>
              <w:rPr>
                <w:sz w:val="20"/>
              </w:rPr>
              <w:t>349 ← prior peak</w:t>
            </w:r>
          </w:p>
        </w:tc>
        <w:tc>
          <w:tcPr>
            <w:tcW w:type="dxa" w:w="2351"/>
          </w:tcPr>
          <w:p>
            <w:r>
              <w:rPr>
                <w:sz w:val="20"/>
              </w:rPr>
            </w:r>
          </w:p>
        </w:tc>
        <w:tc>
          <w:tcPr>
            <w:tcW w:type="dxa" w:w="2351"/>
          </w:tcPr>
          <w:p>
            <w:r>
              <w:rPr>
                <w:sz w:val="20"/>
              </w:rPr>
            </w:r>
          </w:p>
        </w:tc>
      </w:tr>
    </w:tbl>
    <w:p/>
    <w:p>
      <w:pPr>
        <w:spacing w:before="80" w:after="160"/>
        <w:ind w:left="454"/>
      </w:pPr>
      <w:r>
        <w:rPr>
          <w:i/>
          <w:color w:val="2E74B5"/>
          <w:sz w:val="20"/>
        </w:rPr>
        <w:t>► Action: Set a monthly volume target. Suggested: below 150 within 12 months. Without a target, trend data has no meaning.</w:t>
      </w:r>
    </w:p>
    <w:p>
      <w:pPr>
        <w:pStyle w:val="Heading1"/>
      </w:pPr>
      <w:r>
        <w:rPr>
          <w:color w:val="1F3664"/>
          <w:sz w:val="32"/>
        </w:rPr>
        <w:t>Section 3 — Defect Type Analysis</w:t>
      </w:r>
    </w:p>
    <w:p>
      <w:pPr>
        <w:pStyle w:val="Heading2"/>
      </w:pPr>
      <w:r>
        <w:rPr>
          <w:color w:val="2E74B5"/>
          <w:sz w:val="26"/>
        </w:rPr>
        <w:t>3.1 Top Concern Categories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664"/>
          </w:tcPr>
          <w:p>
            <w:r>
              <w:rPr>
                <w:b/>
                <w:color w:val="FFFFFF"/>
                <w:sz w:val="20"/>
              </w:rPr>
              <w:t>Concern</w:t>
            </w:r>
          </w:p>
        </w:tc>
        <w:tc>
          <w:tcPr>
            <w:tcW w:type="dxa" w:w="3135"/>
            <w:shd w:val="clear" w:color="auto" w:fill="1F3664"/>
          </w:tcPr>
          <w:p>
            <w:r>
              <w:rPr>
                <w:b/>
                <w:color w:val="FFFFFF"/>
                <w:sz w:val="20"/>
              </w:rPr>
              <w:t>Count</w:t>
            </w:r>
          </w:p>
        </w:tc>
        <w:tc>
          <w:tcPr>
            <w:tcW w:type="dxa" w:w="3135"/>
            <w:shd w:val="clear" w:color="auto" w:fill="1F3664"/>
          </w:tcPr>
          <w:p>
            <w:r>
              <w:rPr>
                <w:b/>
                <w:color w:val="FFFFFF"/>
                <w:sz w:val="20"/>
              </w:rPr>
              <w:t>% of Total</w:t>
            </w:r>
          </w:p>
        </w:tc>
      </w:tr>
      <w:tr>
        <w:tc>
          <w:tcPr>
            <w:tcW w:type="dxa" w:w="3135"/>
          </w:tcPr>
          <w:p>
            <w:r>
              <w:rPr>
                <w:sz w:val="20"/>
              </w:rPr>
              <w:t>Missing</w:t>
            </w:r>
          </w:p>
        </w:tc>
        <w:tc>
          <w:tcPr>
            <w:tcW w:type="dxa" w:w="3135"/>
          </w:tcPr>
          <w:p>
            <w:r>
              <w:rPr>
                <w:sz w:val="20"/>
              </w:rPr>
              <w:t>1,625</w:t>
            </w:r>
          </w:p>
        </w:tc>
        <w:tc>
          <w:tcPr>
            <w:tcW w:type="dxa" w:w="3135"/>
          </w:tcPr>
          <w:p>
            <w:r>
              <w:rPr>
                <w:sz w:val="20"/>
              </w:rPr>
              <w:t>33%</w:t>
            </w:r>
          </w:p>
        </w:tc>
      </w:tr>
      <w:tr>
        <w:tc>
          <w:tcPr>
            <w:tcW w:type="dxa" w:w="3135"/>
            <w:shd w:val="clear" w:color="auto" w:fill="DCE6F1"/>
          </w:tcPr>
          <w:p>
            <w:r>
              <w:rPr>
                <w:sz w:val="20"/>
              </w:rPr>
              <w:t>Loose</w:t>
            </w:r>
          </w:p>
        </w:tc>
        <w:tc>
          <w:tcPr>
            <w:tcW w:type="dxa" w:w="3135"/>
            <w:shd w:val="clear" w:color="auto" w:fill="DCE6F1"/>
          </w:tcPr>
          <w:p>
            <w:r>
              <w:rPr>
                <w:sz w:val="20"/>
              </w:rPr>
              <w:t>177</w:t>
            </w:r>
          </w:p>
        </w:tc>
        <w:tc>
          <w:tcPr>
            <w:tcW w:type="dxa" w:w="3135"/>
            <w:shd w:val="clear" w:color="auto" w:fill="DCE6F1"/>
          </w:tcPr>
          <w:p>
            <w:r>
              <w:rPr>
                <w:sz w:val="20"/>
              </w:rPr>
              <w:t>4%</w:t>
            </w:r>
          </w:p>
        </w:tc>
      </w:tr>
      <w:tr>
        <w:tc>
          <w:tcPr>
            <w:tcW w:type="dxa" w:w="3135"/>
          </w:tcPr>
          <w:p>
            <w:r>
              <w:rPr>
                <w:sz w:val="20"/>
              </w:rPr>
              <w:t>Not fitted</w:t>
            </w:r>
          </w:p>
        </w:tc>
        <w:tc>
          <w:tcPr>
            <w:tcW w:type="dxa" w:w="3135"/>
          </w:tcPr>
          <w:p>
            <w:r>
              <w:rPr>
                <w:sz w:val="20"/>
              </w:rPr>
              <w:t>120</w:t>
            </w:r>
          </w:p>
        </w:tc>
        <w:tc>
          <w:tcPr>
            <w:tcW w:type="dxa" w:w="3135"/>
          </w:tcPr>
          <w:p>
            <w:r>
              <w:rPr>
                <w:sz w:val="20"/>
              </w:rPr>
              <w:t>2%</w:t>
            </w:r>
          </w:p>
        </w:tc>
      </w:tr>
      <w:tr>
        <w:tc>
          <w:tcPr>
            <w:tcW w:type="dxa" w:w="3135"/>
            <w:shd w:val="clear" w:color="auto" w:fill="DCE6F1"/>
          </w:tcPr>
          <w:p>
            <w:r>
              <w:rPr>
                <w:sz w:val="20"/>
              </w:rPr>
              <w:t>Incomplete</w:t>
            </w:r>
          </w:p>
        </w:tc>
        <w:tc>
          <w:tcPr>
            <w:tcW w:type="dxa" w:w="3135"/>
            <w:shd w:val="clear" w:color="auto" w:fill="DCE6F1"/>
          </w:tcPr>
          <w:p>
            <w:r>
              <w:rPr>
                <w:sz w:val="20"/>
              </w:rPr>
              <w:t>85</w:t>
            </w:r>
          </w:p>
        </w:tc>
        <w:tc>
          <w:tcPr>
            <w:tcW w:type="dxa" w:w="3135"/>
            <w:shd w:val="clear" w:color="auto" w:fill="DCE6F1"/>
          </w:tcPr>
          <w:p>
            <w:r>
              <w:rPr>
                <w:sz w:val="20"/>
              </w:rPr>
              <w:t>2%</w:t>
            </w:r>
          </w:p>
        </w:tc>
      </w:tr>
      <w:tr>
        <w:tc>
          <w:tcPr>
            <w:tcW w:type="dxa" w:w="3135"/>
          </w:tcPr>
          <w:p>
            <w:r>
              <w:rPr>
                <w:sz w:val="20"/>
              </w:rPr>
              <w:t>Not secured</w:t>
            </w:r>
          </w:p>
        </w:tc>
        <w:tc>
          <w:tcPr>
            <w:tcW w:type="dxa" w:w="3135"/>
          </w:tcPr>
          <w:p>
            <w:r>
              <w:rPr>
                <w:sz w:val="20"/>
              </w:rPr>
              <w:t>79</w:t>
            </w:r>
          </w:p>
        </w:tc>
        <w:tc>
          <w:tcPr>
            <w:tcW w:type="dxa" w:w="3135"/>
          </w:tcPr>
          <w:p>
            <w:r>
              <w:rPr>
                <w:sz w:val="20"/>
              </w:rPr>
              <w:t>2%</w:t>
            </w:r>
          </w:p>
        </w:tc>
      </w:tr>
      <w:tr>
        <w:tc>
          <w:tcPr>
            <w:tcW w:type="dxa" w:w="3135"/>
            <w:shd w:val="clear" w:color="auto" w:fill="DCE6F1"/>
          </w:tcPr>
          <w:p>
            <w:r>
              <w:rPr>
                <w:sz w:val="20"/>
              </w:rPr>
              <w:t>Not sealed</w:t>
            </w:r>
          </w:p>
        </w:tc>
        <w:tc>
          <w:tcPr>
            <w:tcW w:type="dxa" w:w="3135"/>
            <w:shd w:val="clear" w:color="auto" w:fill="DCE6F1"/>
          </w:tcPr>
          <w:p>
            <w:r>
              <w:rPr>
                <w:sz w:val="20"/>
              </w:rPr>
              <w:t>56</w:t>
            </w:r>
          </w:p>
        </w:tc>
        <w:tc>
          <w:tcPr>
            <w:tcW w:type="dxa" w:w="3135"/>
            <w:shd w:val="clear" w:color="auto" w:fill="DCE6F1"/>
          </w:tcPr>
          <w:p>
            <w:r>
              <w:rPr>
                <w:sz w:val="20"/>
              </w:rPr>
              <w:t>1%</w:t>
            </w:r>
          </w:p>
        </w:tc>
      </w:tr>
      <w:tr>
        <w:tc>
          <w:tcPr>
            <w:tcW w:type="dxa" w:w="3135"/>
          </w:tcPr>
          <w:p>
            <w:r>
              <w:rPr>
                <w:sz w:val="20"/>
              </w:rPr>
              <w:t>Not filed</w:t>
            </w:r>
          </w:p>
        </w:tc>
        <w:tc>
          <w:tcPr>
            <w:tcW w:type="dxa" w:w="3135"/>
          </w:tcPr>
          <w:p>
            <w:r>
              <w:rPr>
                <w:sz w:val="20"/>
              </w:rPr>
              <w:t>56</w:t>
            </w:r>
          </w:p>
        </w:tc>
        <w:tc>
          <w:tcPr>
            <w:tcW w:type="dxa" w:w="3135"/>
          </w:tcPr>
          <w:p>
            <w:r>
              <w:rPr>
                <w:sz w:val="20"/>
              </w:rPr>
              <w:t>1%</w:t>
            </w:r>
          </w:p>
        </w:tc>
      </w:tr>
      <w:tr>
        <w:tc>
          <w:tcPr>
            <w:tcW w:type="dxa" w:w="3135"/>
            <w:shd w:val="clear" w:color="auto" w:fill="DCE6F1"/>
          </w:tcPr>
          <w:p>
            <w:r>
              <w:rPr>
                <w:sz w:val="20"/>
              </w:rPr>
              <w:t>Not working</w:t>
            </w:r>
          </w:p>
        </w:tc>
        <w:tc>
          <w:tcPr>
            <w:tcW w:type="dxa" w:w="3135"/>
            <w:shd w:val="clear" w:color="auto" w:fill="DCE6F1"/>
          </w:tcPr>
          <w:p>
            <w:r>
              <w:rPr>
                <w:sz w:val="20"/>
              </w:rPr>
              <w:t>41</w:t>
            </w:r>
          </w:p>
        </w:tc>
        <w:tc>
          <w:tcPr>
            <w:tcW w:type="dxa" w:w="3135"/>
            <w:shd w:val="clear" w:color="auto" w:fill="DCE6F1"/>
          </w:tcPr>
          <w:p>
            <w:r>
              <w:rPr>
                <w:sz w:val="20"/>
              </w:rPr>
              <w:t>1%</w:t>
            </w:r>
          </w:p>
        </w:tc>
      </w:tr>
      <w:tr>
        <w:tc>
          <w:tcPr>
            <w:tcW w:type="dxa" w:w="3135"/>
          </w:tcPr>
          <w:p>
            <w:r>
              <w:rPr>
                <w:sz w:val="20"/>
              </w:rPr>
              <w:t>Leaking</w:t>
            </w:r>
          </w:p>
        </w:tc>
        <w:tc>
          <w:tcPr>
            <w:tcW w:type="dxa" w:w="3135"/>
          </w:tcPr>
          <w:p>
            <w:r>
              <w:rPr>
                <w:sz w:val="20"/>
              </w:rPr>
              <w:t>37</w:t>
            </w:r>
          </w:p>
        </w:tc>
        <w:tc>
          <w:tcPr>
            <w:tcW w:type="dxa" w:w="3135"/>
          </w:tcPr>
          <w:p>
            <w:r>
              <w:rPr>
                <w:sz w:val="20"/>
              </w:rPr>
              <w:t>1%</w:t>
            </w:r>
          </w:p>
        </w:tc>
      </w:tr>
      <w:tr>
        <w:tc>
          <w:tcPr>
            <w:tcW w:type="dxa" w:w="3135"/>
            <w:shd w:val="clear" w:color="auto" w:fill="DCE6F1"/>
          </w:tcPr>
          <w:p>
            <w:r>
              <w:rPr>
                <w:sz w:val="20"/>
              </w:rPr>
              <w:t>Wrong / Incorrect</w:t>
            </w:r>
          </w:p>
        </w:tc>
        <w:tc>
          <w:tcPr>
            <w:tcW w:type="dxa" w:w="3135"/>
            <w:shd w:val="clear" w:color="auto" w:fill="DCE6F1"/>
          </w:tcPr>
          <w:p>
            <w:r>
              <w:rPr>
                <w:sz w:val="20"/>
              </w:rPr>
              <w:t>32</w:t>
            </w:r>
          </w:p>
        </w:tc>
        <w:tc>
          <w:tcPr>
            <w:tcW w:type="dxa" w:w="3135"/>
            <w:shd w:val="clear" w:color="auto" w:fill="DCE6F1"/>
          </w:tcPr>
          <w:p>
            <w:r>
              <w:rPr>
                <w:sz w:val="20"/>
              </w:rPr>
              <w:t>1%</w:t>
            </w:r>
          </w:p>
        </w:tc>
      </w:tr>
      <w:tr>
        <w:tc>
          <w:tcPr>
            <w:tcW w:type="dxa" w:w="3135"/>
          </w:tcPr>
          <w:p>
            <w:r>
              <w:rPr>
                <w:sz w:val="20"/>
              </w:rPr>
              <w:t>Blank / Not recorded</w:t>
            </w:r>
          </w:p>
        </w:tc>
        <w:tc>
          <w:tcPr>
            <w:tcW w:type="dxa" w:w="3135"/>
          </w:tcPr>
          <w:p>
            <w:r>
              <w:rPr>
                <w:sz w:val="20"/>
              </w:rPr>
              <w:t>149</w:t>
            </w:r>
          </w:p>
        </w:tc>
        <w:tc>
          <w:tcPr>
            <w:tcW w:type="dxa" w:w="3135"/>
          </w:tcPr>
          <w:p>
            <w:r>
              <w:rPr>
                <w:sz w:val="20"/>
              </w:rPr>
              <w:t>3%</w:t>
            </w:r>
          </w:p>
        </w:tc>
      </w:tr>
    </w:tbl>
    <w:p/>
    <w:p>
      <w:pPr>
        <w:spacing w:before="80" w:after="160"/>
        <w:ind w:left="454"/>
      </w:pPr>
      <w:r>
        <w:rPr>
          <w:i/>
          <w:color w:val="2E74B5"/>
          <w:sz w:val="20"/>
        </w:rPr>
        <w:t>► "Missing" at 33% is a BOM completeness and checklist failure — preventable at the desk, not on the floor.</w:t>
      </w:r>
    </w:p>
    <w:p>
      <w:pPr>
        <w:pStyle w:val="Heading2"/>
      </w:pPr>
      <w:r>
        <w:rPr>
          <w:color w:val="2E74B5"/>
          <w:sz w:val="26"/>
        </w:rPr>
        <w:t>3.2 Initiator Breakdown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664"/>
          </w:tcPr>
          <w:p>
            <w:r>
              <w:rPr>
                <w:b/>
                <w:color w:val="FFFFFF"/>
                <w:sz w:val="20"/>
              </w:rPr>
              <w:t>Initiator</w:t>
            </w:r>
          </w:p>
        </w:tc>
        <w:tc>
          <w:tcPr>
            <w:tcW w:type="dxa" w:w="3135"/>
            <w:shd w:val="clear" w:color="auto" w:fill="1F3664"/>
          </w:tcPr>
          <w:p>
            <w:r>
              <w:rPr>
                <w:b/>
                <w:color w:val="FFFFFF"/>
                <w:sz w:val="20"/>
              </w:rPr>
              <w:t>Count</w:t>
            </w:r>
          </w:p>
        </w:tc>
        <w:tc>
          <w:tcPr>
            <w:tcW w:type="dxa" w:w="3135"/>
            <w:shd w:val="clear" w:color="auto" w:fill="1F3664"/>
          </w:tcPr>
          <w:p>
            <w:r>
              <w:rPr>
                <w:b/>
                <w:color w:val="FFFFFF"/>
                <w:sz w:val="20"/>
              </w:rPr>
              <w:t>Meaning</w:t>
            </w:r>
          </w:p>
        </w:tc>
      </w:tr>
      <w:tr>
        <w:tc>
          <w:tcPr>
            <w:tcW w:type="dxa" w:w="3135"/>
          </w:tcPr>
          <w:p>
            <w:r>
              <w:rPr>
                <w:sz w:val="20"/>
              </w:rPr>
              <w:t>Q — Quality Inspection</w:t>
            </w:r>
          </w:p>
        </w:tc>
        <w:tc>
          <w:tcPr>
            <w:tcW w:type="dxa" w:w="3135"/>
          </w:tcPr>
          <w:p>
            <w:r>
              <w:rPr>
                <w:sz w:val="20"/>
              </w:rPr>
              <w:t>2,895</w:t>
            </w:r>
          </w:p>
        </w:tc>
        <w:tc>
          <w:tcPr>
            <w:tcW w:type="dxa" w:w="3135"/>
          </w:tcPr>
          <w:p>
            <w:r>
              <w:rPr>
                <w:sz w:val="20"/>
              </w:rPr>
              <w:t>Caught by our inspection process</w:t>
            </w:r>
          </w:p>
        </w:tc>
      </w:tr>
      <w:tr>
        <w:tc>
          <w:tcPr>
            <w:tcW w:type="dxa" w:w="3135"/>
            <w:shd w:val="clear" w:color="auto" w:fill="DCE6F1"/>
          </w:tcPr>
          <w:p>
            <w:r>
              <w:rPr>
                <w:sz w:val="20"/>
              </w:rPr>
              <w:t>C — Customer</w:t>
            </w:r>
          </w:p>
        </w:tc>
        <w:tc>
          <w:tcPr>
            <w:tcW w:type="dxa" w:w="3135"/>
            <w:shd w:val="clear" w:color="auto" w:fill="DCE6F1"/>
          </w:tcPr>
          <w:p>
            <w:r>
              <w:rPr>
                <w:sz w:val="20"/>
              </w:rPr>
              <w:t>392</w:t>
            </w:r>
          </w:p>
        </w:tc>
        <w:tc>
          <w:tcPr>
            <w:tcW w:type="dxa" w:w="3135"/>
            <w:shd w:val="clear" w:color="auto" w:fill="DCE6F1"/>
          </w:tcPr>
          <w:p>
            <w:r>
              <w:rPr>
                <w:sz w:val="20"/>
              </w:rPr>
              <w:t>Reached the customer before detection</w:t>
            </w:r>
          </w:p>
        </w:tc>
      </w:tr>
      <w:tr>
        <w:tc>
          <w:tcPr>
            <w:tcW w:type="dxa" w:w="3135"/>
          </w:tcPr>
          <w:p>
            <w:r>
              <w:rPr>
                <w:sz w:val="20"/>
              </w:rPr>
              <w:t>V — VASS</w:t>
            </w:r>
          </w:p>
        </w:tc>
        <w:tc>
          <w:tcPr>
            <w:tcW w:type="dxa" w:w="3135"/>
          </w:tcPr>
          <w:p>
            <w:r>
              <w:rPr>
                <w:sz w:val="20"/>
              </w:rPr>
              <w:t>90</w:t>
            </w:r>
          </w:p>
        </w:tc>
        <w:tc>
          <w:tcPr>
            <w:tcW w:type="dxa" w:w="3135"/>
          </w:tcPr>
          <w:p>
            <w:r>
              <w:rPr>
                <w:sz w:val="20"/>
              </w:rPr>
              <w:t>Caught at VASS inspection</w:t>
            </w:r>
          </w:p>
        </w:tc>
      </w:tr>
      <w:tr>
        <w:tc>
          <w:tcPr>
            <w:tcW w:type="dxa" w:w="3135"/>
            <w:shd w:val="clear" w:color="auto" w:fill="DCE6F1"/>
          </w:tcPr>
          <w:p>
            <w:r>
              <w:rPr>
                <w:sz w:val="20"/>
              </w:rPr>
              <w:t>S — Safety</w:t>
            </w:r>
          </w:p>
        </w:tc>
        <w:tc>
          <w:tcPr>
            <w:tcW w:type="dxa" w:w="3135"/>
            <w:shd w:val="clear" w:color="auto" w:fill="DCE6F1"/>
          </w:tcPr>
          <w:p>
            <w:r>
              <w:rPr>
                <w:sz w:val="20"/>
              </w:rPr>
              <w:t>80</w:t>
            </w:r>
          </w:p>
        </w:tc>
        <w:tc>
          <w:tcPr>
            <w:tcW w:type="dxa" w:w="3135"/>
            <w:shd w:val="clear" w:color="auto" w:fill="DCE6F1"/>
          </w:tcPr>
          <w:p>
            <w:r>
              <w:rPr>
                <w:sz w:val="20"/>
              </w:rPr>
              <w:t>Safety-related finding</w:t>
            </w:r>
          </w:p>
        </w:tc>
      </w:tr>
      <w:tr>
        <w:tc>
          <w:tcPr>
            <w:tcW w:type="dxa" w:w="3135"/>
          </w:tcPr>
          <w:p>
            <w:r>
              <w:rPr>
                <w:sz w:val="20"/>
              </w:rPr>
              <w:t>M — Manufacturing</w:t>
            </w:r>
          </w:p>
        </w:tc>
        <w:tc>
          <w:tcPr>
            <w:tcW w:type="dxa" w:w="3135"/>
          </w:tcPr>
          <w:p>
            <w:r>
              <w:rPr>
                <w:sz w:val="20"/>
              </w:rPr>
              <w:t>20</w:t>
            </w:r>
          </w:p>
        </w:tc>
        <w:tc>
          <w:tcPr>
            <w:tcW w:type="dxa" w:w="3135"/>
          </w:tcPr>
          <w:p>
            <w:r>
              <w:rPr>
                <w:sz w:val="20"/>
              </w:rPr>
              <w:t>Self-identified on the floor</w:t>
            </w:r>
          </w:p>
        </w:tc>
      </w:tr>
      <w:tr>
        <w:tc>
          <w:tcPr>
            <w:tcW w:type="dxa" w:w="3135"/>
            <w:shd w:val="clear" w:color="auto" w:fill="DCE6F1"/>
          </w:tcPr>
          <w:p>
            <w:r>
              <w:rPr>
                <w:sz w:val="20"/>
              </w:rPr>
              <w:t>Not recorded</w:t>
            </w:r>
          </w:p>
        </w:tc>
        <w:tc>
          <w:tcPr>
            <w:tcW w:type="dxa" w:w="3135"/>
            <w:shd w:val="clear" w:color="auto" w:fill="DCE6F1"/>
          </w:tcPr>
          <w:p>
            <w:r>
              <w:rPr>
                <w:sz w:val="20"/>
              </w:rPr>
              <w:t>1,421</w:t>
            </w:r>
          </w:p>
        </w:tc>
        <w:tc>
          <w:tcPr>
            <w:tcW w:type="dxa" w:w="3135"/>
            <w:shd w:val="clear" w:color="auto" w:fill="DCE6F1"/>
          </w:tcPr>
          <w:p>
            <w:r>
              <w:rPr>
                <w:sz w:val="20"/>
              </w:rPr>
              <w:t>Unknown origin — data gap (29%)</w:t>
            </w:r>
          </w:p>
        </w:tc>
      </w:tr>
    </w:tbl>
    <w:p/>
    <w:p>
      <w:pPr>
        <w:spacing w:before="80" w:after="160"/>
        <w:ind w:left="454"/>
      </w:pPr>
      <w:r>
        <w:rPr>
          <w:i/>
          <w:color w:val="2E74B5"/>
          <w:sz w:val="20"/>
        </w:rPr>
        <w:t>► 392 customer-initiated issues in aviation refuelling equipment is a significant quality and reputational risk. This number must trend to zero.</w:t>
      </w:r>
    </w:p>
    <w:p>
      <w:pPr>
        <w:pStyle w:val="Heading2"/>
      </w:pPr>
      <w:r>
        <w:rPr>
          <w:color w:val="2E74B5"/>
          <w:sz w:val="26"/>
        </w:rPr>
        <w:t>3.3 Recurring Part Issues — Systemic BOM Failures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664"/>
          </w:tcPr>
          <w:p>
            <w:r>
              <w:rPr>
                <w:b/>
                <w:color w:val="FFFFFF"/>
                <w:sz w:val="20"/>
              </w:rPr>
              <w:t>Part</w:t>
            </w:r>
          </w:p>
        </w:tc>
        <w:tc>
          <w:tcPr>
            <w:tcW w:type="dxa" w:w="3135"/>
            <w:shd w:val="clear" w:color="auto" w:fill="1F3664"/>
          </w:tcPr>
          <w:p>
            <w:r>
              <w:rPr>
                <w:b/>
                <w:color w:val="FFFFFF"/>
                <w:sz w:val="20"/>
              </w:rPr>
              <w:t>Occurrences</w:t>
            </w:r>
          </w:p>
        </w:tc>
        <w:tc>
          <w:tcPr>
            <w:tcW w:type="dxa" w:w="3135"/>
            <w:shd w:val="clear" w:color="auto" w:fill="1F3664"/>
          </w:tcPr>
          <w:p>
            <w:r>
              <w:rPr>
                <w:b/>
                <w:color w:val="FFFFFF"/>
                <w:sz w:val="20"/>
              </w:rPr>
              <w:t>Recommended Action</w:t>
            </w:r>
          </w:p>
        </w:tc>
      </w:tr>
      <w:tr>
        <w:tc>
          <w:tcPr>
            <w:tcW w:type="dxa" w:w="3135"/>
          </w:tcPr>
          <w:p>
            <w:r>
              <w:rPr>
                <w:sz w:val="20"/>
              </w:rPr>
              <w:t>Build checklist incomplete</w:t>
            </w:r>
          </w:p>
        </w:tc>
        <w:tc>
          <w:tcPr>
            <w:tcW w:type="dxa" w:w="3135"/>
          </w:tcPr>
          <w:p>
            <w:r>
              <w:rPr>
                <w:sz w:val="20"/>
              </w:rPr>
              <w:t>29</w:t>
            </w:r>
          </w:p>
        </w:tc>
        <w:tc>
          <w:tcPr>
            <w:tcW w:type="dxa" w:w="3135"/>
          </w:tcPr>
          <w:p>
            <w:r>
              <w:rPr>
                <w:sz w:val="20"/>
              </w:rPr>
              <w:t>Enforce checklist as mandatory closure step</w:t>
            </w:r>
          </w:p>
        </w:tc>
      </w:tr>
      <w:tr>
        <w:tc>
          <w:tcPr>
            <w:tcW w:type="dxa" w:w="3135"/>
            <w:shd w:val="clear" w:color="auto" w:fill="DCE6F1"/>
          </w:tcPr>
          <w:p>
            <w:r>
              <w:rPr>
                <w:sz w:val="20"/>
              </w:rPr>
              <w:t>Spare wheel</w:t>
            </w:r>
          </w:p>
        </w:tc>
        <w:tc>
          <w:tcPr>
            <w:tcW w:type="dxa" w:w="3135"/>
            <w:shd w:val="clear" w:color="auto" w:fill="DCE6F1"/>
          </w:tcPr>
          <w:p>
            <w:r>
              <w:rPr>
                <w:sz w:val="20"/>
              </w:rPr>
              <w:t>21</w:t>
            </w:r>
          </w:p>
        </w:tc>
        <w:tc>
          <w:tcPr>
            <w:tcW w:type="dxa" w:w="3135"/>
            <w:shd w:val="clear" w:color="auto" w:fill="DCE6F1"/>
          </w:tcPr>
          <w:p>
            <w:r>
              <w:rPr>
                <w:sz w:val="20"/>
              </w:rPr>
              <w:t>Add to every relevant standard BOM</w:t>
            </w:r>
          </w:p>
        </w:tc>
      </w:tr>
      <w:tr>
        <w:tc>
          <w:tcPr>
            <w:tcW w:type="dxa" w:w="3135"/>
          </w:tcPr>
          <w:p>
            <w:r>
              <w:rPr>
                <w:sz w:val="20"/>
              </w:rPr>
              <w:t>Fuel circuit plate/label</w:t>
            </w:r>
          </w:p>
        </w:tc>
        <w:tc>
          <w:tcPr>
            <w:tcW w:type="dxa" w:w="3135"/>
          </w:tcPr>
          <w:p>
            <w:r>
              <w:rPr>
                <w:sz w:val="20"/>
              </w:rPr>
              <w:t>14</w:t>
            </w:r>
          </w:p>
        </w:tc>
        <w:tc>
          <w:tcPr>
            <w:tcW w:type="dxa" w:w="3135"/>
          </w:tcPr>
          <w:p>
            <w:r>
              <w:rPr>
                <w:sz w:val="20"/>
              </w:rPr>
              <w:t>Add to every relevant standard BOM</w:t>
            </w:r>
          </w:p>
        </w:tc>
      </w:tr>
      <w:tr>
        <w:tc>
          <w:tcPr>
            <w:tcW w:type="dxa" w:w="3135"/>
            <w:shd w:val="clear" w:color="auto" w:fill="DCE6F1"/>
          </w:tcPr>
          <w:p>
            <w:r>
              <w:rPr>
                <w:sz w:val="20"/>
              </w:rPr>
              <w:t>Ladder</w:t>
            </w:r>
          </w:p>
        </w:tc>
        <w:tc>
          <w:tcPr>
            <w:tcW w:type="dxa" w:w="3135"/>
            <w:shd w:val="clear" w:color="auto" w:fill="DCE6F1"/>
          </w:tcPr>
          <w:p>
            <w:r>
              <w:rPr>
                <w:sz w:val="20"/>
              </w:rPr>
              <w:t>14</w:t>
            </w:r>
          </w:p>
        </w:tc>
        <w:tc>
          <w:tcPr>
            <w:tcW w:type="dxa" w:w="3135"/>
            <w:shd w:val="clear" w:color="auto" w:fill="DCE6F1"/>
          </w:tcPr>
          <w:p>
            <w:r>
              <w:rPr>
                <w:sz w:val="20"/>
              </w:rPr>
              <w:t>Add to every relevant standard BOM</w:t>
            </w:r>
          </w:p>
        </w:tc>
      </w:tr>
      <w:tr>
        <w:tc>
          <w:tcPr>
            <w:tcW w:type="dxa" w:w="3135"/>
          </w:tcPr>
          <w:p>
            <w:r>
              <w:rPr>
                <w:sz w:val="20"/>
              </w:rPr>
              <w:t>Filter vessel elements</w:t>
            </w:r>
          </w:p>
        </w:tc>
        <w:tc>
          <w:tcPr>
            <w:tcW w:type="dxa" w:w="3135"/>
          </w:tcPr>
          <w:p>
            <w:r>
              <w:rPr>
                <w:sz w:val="20"/>
              </w:rPr>
              <w:t>11</w:t>
            </w:r>
          </w:p>
        </w:tc>
        <w:tc>
          <w:tcPr>
            <w:tcW w:type="dxa" w:w="3135"/>
          </w:tcPr>
          <w:p>
            <w:r>
              <w:rPr>
                <w:sz w:val="20"/>
              </w:rPr>
              <w:t>Clarify supply/fit responsibility in BOM</w:t>
            </w:r>
          </w:p>
        </w:tc>
      </w:tr>
      <w:tr>
        <w:tc>
          <w:tcPr>
            <w:tcW w:type="dxa" w:w="3135"/>
            <w:shd w:val="clear" w:color="auto" w:fill="DCE6F1"/>
          </w:tcPr>
          <w:p>
            <w:r>
              <w:rPr>
                <w:sz w:val="20"/>
              </w:rPr>
              <w:t>Weighbridge docket</w:t>
            </w:r>
          </w:p>
        </w:tc>
        <w:tc>
          <w:tcPr>
            <w:tcW w:type="dxa" w:w="3135"/>
            <w:shd w:val="clear" w:color="auto" w:fill="DCE6F1"/>
          </w:tcPr>
          <w:p>
            <w:r>
              <w:rPr>
                <w:sz w:val="20"/>
              </w:rPr>
              <w:t>10</w:t>
            </w:r>
          </w:p>
        </w:tc>
        <w:tc>
          <w:tcPr>
            <w:tcW w:type="dxa" w:w="3135"/>
            <w:shd w:val="clear" w:color="auto" w:fill="DCE6F1"/>
          </w:tcPr>
          <w:p>
            <w:r>
              <w:rPr>
                <w:sz w:val="20"/>
              </w:rPr>
              <w:t>Add to closing documentation checklist</w:t>
            </w:r>
          </w:p>
        </w:tc>
      </w:tr>
      <w:tr>
        <w:tc>
          <w:tcPr>
            <w:tcW w:type="dxa" w:w="3135"/>
          </w:tcPr>
          <w:p>
            <w:r>
              <w:rPr>
                <w:sz w:val="20"/>
              </w:rPr>
              <w:t>Flameproofing</w:t>
            </w:r>
          </w:p>
        </w:tc>
        <w:tc>
          <w:tcPr>
            <w:tcW w:type="dxa" w:w="3135"/>
          </w:tcPr>
          <w:p>
            <w:r>
              <w:rPr>
                <w:sz w:val="20"/>
              </w:rPr>
              <w:t>10</w:t>
            </w:r>
          </w:p>
        </w:tc>
        <w:tc>
          <w:tcPr>
            <w:tcW w:type="dxa" w:w="3135"/>
          </w:tcPr>
          <w:p>
            <w:r>
              <w:rPr>
                <w:sz w:val="20"/>
              </w:rPr>
              <w:t>Add to every relevant standard BOM</w:t>
            </w:r>
          </w:p>
        </w:tc>
      </w:tr>
      <w:tr>
        <w:tc>
          <w:tcPr>
            <w:tcW w:type="dxa" w:w="3135"/>
            <w:shd w:val="clear" w:color="auto" w:fill="DCE6F1"/>
          </w:tcPr>
          <w:p>
            <w:r>
              <w:rPr>
                <w:sz w:val="20"/>
              </w:rPr>
              <w:t>Control panel nutserts</w:t>
            </w:r>
          </w:p>
        </w:tc>
        <w:tc>
          <w:tcPr>
            <w:tcW w:type="dxa" w:w="3135"/>
            <w:shd w:val="clear" w:color="auto" w:fill="DCE6F1"/>
          </w:tcPr>
          <w:p>
            <w:r>
              <w:rPr>
                <w:sz w:val="20"/>
              </w:rPr>
              <w:t>9</w:t>
            </w:r>
          </w:p>
        </w:tc>
        <w:tc>
          <w:tcPr>
            <w:tcW w:type="dxa" w:w="3135"/>
            <w:shd w:val="clear" w:color="auto" w:fill="DCE6F1"/>
          </w:tcPr>
          <w:p>
            <w:r>
              <w:rPr>
                <w:sz w:val="20"/>
              </w:rPr>
              <w:t>Add to every relevant standard BOM</w:t>
            </w:r>
          </w:p>
        </w:tc>
      </w:tr>
      <w:tr>
        <w:tc>
          <w:tcPr>
            <w:tcW w:type="dxa" w:w="3135"/>
          </w:tcPr>
          <w:p>
            <w:r>
              <w:rPr>
                <w:sz w:val="20"/>
              </w:rPr>
              <w:t>5th wheel VASS label</w:t>
            </w:r>
          </w:p>
        </w:tc>
        <w:tc>
          <w:tcPr>
            <w:tcW w:type="dxa" w:w="3135"/>
          </w:tcPr>
          <w:p>
            <w:r>
              <w:rPr>
                <w:sz w:val="20"/>
              </w:rPr>
              <w:t>9</w:t>
            </w:r>
          </w:p>
        </w:tc>
        <w:tc>
          <w:tcPr>
            <w:tcW w:type="dxa" w:w="3135"/>
          </w:tcPr>
          <w:p>
            <w:r>
              <w:rPr>
                <w:sz w:val="20"/>
              </w:rPr>
              <w:t>Add to closing documentation checklist</w:t>
            </w:r>
          </w:p>
        </w:tc>
      </w:tr>
      <w:tr>
        <w:tc>
          <w:tcPr>
            <w:tcW w:type="dxa" w:w="3135"/>
            <w:shd w:val="clear" w:color="auto" w:fill="DCE6F1"/>
          </w:tcPr>
          <w:p>
            <w:r>
              <w:rPr>
                <w:sz w:val="20"/>
              </w:rPr>
              <w:t>EWP compliance plate</w:t>
            </w:r>
          </w:p>
        </w:tc>
        <w:tc>
          <w:tcPr>
            <w:tcW w:type="dxa" w:w="3135"/>
            <w:shd w:val="clear" w:color="auto" w:fill="DCE6F1"/>
          </w:tcPr>
          <w:p>
            <w:r>
              <w:rPr>
                <w:sz w:val="20"/>
              </w:rPr>
              <w:t>9</w:t>
            </w:r>
          </w:p>
        </w:tc>
        <w:tc>
          <w:tcPr>
            <w:tcW w:type="dxa" w:w="3135"/>
            <w:shd w:val="clear" w:color="auto" w:fill="DCE6F1"/>
          </w:tcPr>
          <w:p>
            <w:r>
              <w:rPr>
                <w:sz w:val="20"/>
              </w:rPr>
              <w:t>Engineering to ensure current standard is used</w:t>
            </w:r>
          </w:p>
        </w:tc>
      </w:tr>
      <w:tr>
        <w:tc>
          <w:tcPr>
            <w:tcW w:type="dxa" w:w="3135"/>
          </w:tcPr>
          <w:p>
            <w:r>
              <w:rPr>
                <w:sz w:val="20"/>
              </w:rPr>
              <w:t>Wheel nut indicators</w:t>
            </w:r>
          </w:p>
        </w:tc>
        <w:tc>
          <w:tcPr>
            <w:tcW w:type="dxa" w:w="3135"/>
          </w:tcPr>
          <w:p>
            <w:r>
              <w:rPr>
                <w:sz w:val="20"/>
              </w:rPr>
              <w:t>7</w:t>
            </w:r>
          </w:p>
        </w:tc>
        <w:tc>
          <w:tcPr>
            <w:tcW w:type="dxa" w:w="3135"/>
          </w:tcPr>
          <w:p>
            <w:r>
              <w:rPr>
                <w:sz w:val="20"/>
              </w:rPr>
              <w:t>Add to every relevant standard BOM</w:t>
            </w:r>
          </w:p>
        </w:tc>
      </w:tr>
      <w:tr>
        <w:tc>
          <w:tcPr>
            <w:tcW w:type="dxa" w:w="3135"/>
            <w:shd w:val="clear" w:color="auto" w:fill="DCE6F1"/>
          </w:tcPr>
          <w:p>
            <w:r>
              <w:rPr>
                <w:sz w:val="20"/>
              </w:rPr>
              <w:t>Pressure vessel door seal</w:t>
            </w:r>
          </w:p>
        </w:tc>
        <w:tc>
          <w:tcPr>
            <w:tcW w:type="dxa" w:w="3135"/>
            <w:shd w:val="clear" w:color="auto" w:fill="DCE6F1"/>
          </w:tcPr>
          <w:p>
            <w:r>
              <w:rPr>
                <w:sz w:val="20"/>
              </w:rPr>
              <w:t>7</w:t>
            </w:r>
          </w:p>
        </w:tc>
        <w:tc>
          <w:tcPr>
            <w:tcW w:type="dxa" w:w="3135"/>
            <w:shd w:val="clear" w:color="auto" w:fill="DCE6F1"/>
          </w:tcPr>
          <w:p>
            <w:r>
              <w:rPr>
                <w:sz w:val="20"/>
              </w:rPr>
              <w:t>Add to every relevant standard BOM</w:t>
            </w:r>
          </w:p>
        </w:tc>
      </w:tr>
      <w:tr>
        <w:tc>
          <w:tcPr>
            <w:tcW w:type="dxa" w:w="3135"/>
          </w:tcPr>
          <w:p>
            <w:r>
              <w:rPr>
                <w:sz w:val="20"/>
              </w:rPr>
              <w:t>Soak test form</w:t>
            </w:r>
          </w:p>
        </w:tc>
        <w:tc>
          <w:tcPr>
            <w:tcW w:type="dxa" w:w="3135"/>
          </w:tcPr>
          <w:p>
            <w:r>
              <w:rPr>
                <w:sz w:val="20"/>
              </w:rPr>
              <w:t>7</w:t>
            </w:r>
          </w:p>
        </w:tc>
        <w:tc>
          <w:tcPr>
            <w:tcW w:type="dxa" w:w="3135"/>
          </w:tcPr>
          <w:p>
            <w:r>
              <w:rPr>
                <w:sz w:val="20"/>
              </w:rPr>
              <w:t>Add to closing documentation checklist</w:t>
            </w:r>
          </w:p>
        </w:tc>
      </w:tr>
    </w:tbl>
    <w:p/>
    <w:p>
      <w:pPr>
        <w:spacing w:before="80" w:after="160"/>
        <w:ind w:left="454"/>
      </w:pPr>
      <w:r>
        <w:rPr>
          <w:i/>
          <w:color w:val="2E74B5"/>
          <w:sz w:val="20"/>
        </w:rPr>
        <w:t>► Implement within 2 weeks. Each is a one-time correction that eliminates a recurring defect permanently.</w:t>
      </w:r>
    </w:p>
    <w:p>
      <w:pPr>
        <w:pStyle w:val="Heading1"/>
      </w:pPr>
      <w:r>
        <w:rPr>
          <w:color w:val="1F3664"/>
          <w:sz w:val="32"/>
        </w:rPr>
        <w:t>Section 4 — Hotspot Analysis</w:t>
      </w:r>
    </w:p>
    <w:p>
      <w:pPr>
        <w:pStyle w:val="Heading2"/>
      </w:pPr>
      <w:r>
        <w:rPr>
          <w:color w:val="2E74B5"/>
          <w:sz w:val="26"/>
        </w:rPr>
        <w:t>4.1 By Cell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664"/>
          </w:tcPr>
          <w:p>
            <w:r>
              <w:rPr>
                <w:b/>
                <w:color w:val="FFFFFF"/>
                <w:sz w:val="20"/>
              </w:rPr>
              <w:t>Cell</w:t>
            </w:r>
          </w:p>
        </w:tc>
        <w:tc>
          <w:tcPr>
            <w:tcW w:type="dxa" w:w="3135"/>
            <w:shd w:val="clear" w:color="auto" w:fill="1F3664"/>
          </w:tcPr>
          <w:p>
            <w:r>
              <w:rPr>
                <w:b/>
                <w:color w:val="FFFFFF"/>
                <w:sz w:val="20"/>
              </w:rPr>
              <w:t>Repair Actions</w:t>
            </w:r>
          </w:p>
        </w:tc>
        <w:tc>
          <w:tcPr>
            <w:tcW w:type="dxa" w:w="3135"/>
            <w:shd w:val="clear" w:color="auto" w:fill="1F3664"/>
          </w:tcPr>
          <w:p>
            <w:r>
              <w:rPr>
                <w:b/>
                <w:color w:val="FFFFFF"/>
                <w:sz w:val="20"/>
              </w:rPr>
              <w:t>Notes</w:t>
            </w:r>
          </w:p>
        </w:tc>
      </w:tr>
      <w:tr>
        <w:tc>
          <w:tcPr>
            <w:tcW w:type="dxa" w:w="3135"/>
          </w:tcPr>
          <w:p>
            <w:r>
              <w:rPr>
                <w:sz w:val="20"/>
              </w:rPr>
              <w:t>Manufacturing Aviation — General*</w:t>
            </w:r>
          </w:p>
        </w:tc>
        <w:tc>
          <w:tcPr>
            <w:tcW w:type="dxa" w:w="3135"/>
          </w:tcPr>
          <w:p>
            <w:r>
              <w:rPr>
                <w:sz w:val="20"/>
              </w:rPr>
              <w:t>2,284</w:t>
            </w:r>
          </w:p>
        </w:tc>
        <w:tc>
          <w:tcPr>
            <w:tcW w:type="dxa" w:w="3135"/>
          </w:tcPr>
          <w:p>
            <w:r>
              <w:rPr>
                <w:sz w:val="20"/>
              </w:rPr>
              <w:t>Data attribution gap — must be fixed</w:t>
            </w:r>
          </w:p>
        </w:tc>
      </w:tr>
      <w:tr>
        <w:tc>
          <w:tcPr>
            <w:tcW w:type="dxa" w:w="3135"/>
            <w:shd w:val="clear" w:color="auto" w:fill="DCE6F1"/>
          </w:tcPr>
          <w:p>
            <w:r>
              <w:rPr>
                <w:sz w:val="20"/>
              </w:rPr>
              <w:t>Manufacturing Aviation — C8-9</w:t>
            </w:r>
          </w:p>
        </w:tc>
        <w:tc>
          <w:tcPr>
            <w:tcW w:type="dxa" w:w="3135"/>
            <w:shd w:val="clear" w:color="auto" w:fill="DCE6F1"/>
          </w:tcPr>
          <w:p>
            <w:r>
              <w:rPr>
                <w:sz w:val="20"/>
              </w:rPr>
              <w:t>1,061</w:t>
            </w:r>
          </w:p>
        </w:tc>
        <w:tc>
          <w:tcPr>
            <w:tcW w:type="dxa" w:w="3135"/>
            <w:shd w:val="clear" w:color="auto" w:fill="DCE6F1"/>
          </w:tcPr>
          <w:p>
            <w:r>
              <w:rPr>
                <w:sz w:val="20"/>
              </w:rPr>
              <w:t>Highest specific cell — investigate</w:t>
            </w:r>
          </w:p>
        </w:tc>
      </w:tr>
      <w:tr>
        <w:tc>
          <w:tcPr>
            <w:tcW w:type="dxa" w:w="3135"/>
          </w:tcPr>
          <w:p>
            <w:r>
              <w:rPr>
                <w:sz w:val="20"/>
              </w:rPr>
              <w:t>Engineering (Mech)</w:t>
            </w:r>
          </w:p>
        </w:tc>
        <w:tc>
          <w:tcPr>
            <w:tcW w:type="dxa" w:w="3135"/>
          </w:tcPr>
          <w:p>
            <w:r>
              <w:rPr>
                <w:sz w:val="20"/>
              </w:rPr>
              <w:t>352</w:t>
            </w:r>
          </w:p>
        </w:tc>
        <w:tc>
          <w:tcPr>
            <w:tcW w:type="dxa" w:w="3135"/>
          </w:tcPr>
          <w:p>
            <w:r>
              <w:rPr>
                <w:sz w:val="20"/>
              </w:rPr>
            </w:r>
          </w:p>
        </w:tc>
      </w:tr>
      <w:tr>
        <w:tc>
          <w:tcPr>
            <w:tcW w:type="dxa" w:w="3135"/>
            <w:shd w:val="clear" w:color="auto" w:fill="DCE6F1"/>
          </w:tcPr>
          <w:p>
            <w:r>
              <w:rPr>
                <w:sz w:val="20"/>
              </w:rPr>
              <w:t>Engineering (Documentation)</w:t>
            </w:r>
          </w:p>
        </w:tc>
        <w:tc>
          <w:tcPr>
            <w:tcW w:type="dxa" w:w="3135"/>
            <w:shd w:val="clear" w:color="auto" w:fill="DCE6F1"/>
          </w:tcPr>
          <w:p>
            <w:r>
              <w:rPr>
                <w:sz w:val="20"/>
              </w:rPr>
              <w:t>289</w:t>
            </w:r>
          </w:p>
        </w:tc>
        <w:tc>
          <w:tcPr>
            <w:tcW w:type="dxa" w:w="3135"/>
            <w:shd w:val="clear" w:color="auto" w:fill="DCE6F1"/>
          </w:tcPr>
          <w:p>
            <w:r>
              <w:rPr>
                <w:sz w:val="20"/>
              </w:rPr>
            </w:r>
          </w:p>
        </w:tc>
      </w:tr>
      <w:tr>
        <w:tc>
          <w:tcPr>
            <w:tcW w:type="dxa" w:w="3135"/>
          </w:tcPr>
          <w:p>
            <w:r>
              <w:rPr>
                <w:sz w:val="20"/>
              </w:rPr>
              <w:t>Sales</w:t>
            </w:r>
          </w:p>
        </w:tc>
        <w:tc>
          <w:tcPr>
            <w:tcW w:type="dxa" w:w="3135"/>
          </w:tcPr>
          <w:p>
            <w:r>
              <w:rPr>
                <w:sz w:val="20"/>
              </w:rPr>
              <w:t>262</w:t>
            </w:r>
          </w:p>
        </w:tc>
        <w:tc>
          <w:tcPr>
            <w:tcW w:type="dxa" w:w="3135"/>
          </w:tcPr>
          <w:p>
            <w:r>
              <w:rPr>
                <w:sz w:val="20"/>
              </w:rPr>
              <w:t>Spec/handover related</w:t>
            </w:r>
          </w:p>
        </w:tc>
      </w:tr>
      <w:tr>
        <w:tc>
          <w:tcPr>
            <w:tcW w:type="dxa" w:w="3135"/>
            <w:shd w:val="clear" w:color="auto" w:fill="DCE6F1"/>
          </w:tcPr>
          <w:p>
            <w:r>
              <w:rPr>
                <w:sz w:val="20"/>
              </w:rPr>
              <w:t>Quality</w:t>
            </w:r>
          </w:p>
        </w:tc>
        <w:tc>
          <w:tcPr>
            <w:tcW w:type="dxa" w:w="3135"/>
            <w:shd w:val="clear" w:color="auto" w:fill="DCE6F1"/>
          </w:tcPr>
          <w:p>
            <w:r>
              <w:rPr>
                <w:sz w:val="20"/>
              </w:rPr>
              <w:t>244</w:t>
            </w:r>
          </w:p>
        </w:tc>
        <w:tc>
          <w:tcPr>
            <w:tcW w:type="dxa" w:w="3135"/>
            <w:shd w:val="clear" w:color="auto" w:fill="DCE6F1"/>
          </w:tcPr>
          <w:p>
            <w:r>
              <w:rPr>
                <w:sz w:val="20"/>
              </w:rPr>
              <w:t>Assigned to quality for resolution</w:t>
            </w:r>
          </w:p>
        </w:tc>
      </w:tr>
      <w:tr>
        <w:tc>
          <w:tcPr>
            <w:tcW w:type="dxa" w:w="3135"/>
          </w:tcPr>
          <w:p>
            <w:r>
              <w:rPr>
                <w:sz w:val="20"/>
              </w:rPr>
              <w:t>Manufacturing Aviation — C1-4</w:t>
            </w:r>
          </w:p>
        </w:tc>
        <w:tc>
          <w:tcPr>
            <w:tcW w:type="dxa" w:w="3135"/>
          </w:tcPr>
          <w:p>
            <w:r>
              <w:rPr>
                <w:sz w:val="20"/>
              </w:rPr>
              <w:t>179</w:t>
            </w:r>
          </w:p>
        </w:tc>
        <w:tc>
          <w:tcPr>
            <w:tcW w:type="dxa" w:w="3135"/>
          </w:tcPr>
          <w:p>
            <w:r>
              <w:rPr>
                <w:sz w:val="20"/>
              </w:rPr>
            </w:r>
          </w:p>
        </w:tc>
      </w:tr>
      <w:tr>
        <w:tc>
          <w:tcPr>
            <w:tcW w:type="dxa" w:w="3135"/>
            <w:shd w:val="clear" w:color="auto" w:fill="DCE6F1"/>
          </w:tcPr>
          <w:p>
            <w:r>
              <w:rPr>
                <w:sz w:val="20"/>
              </w:rPr>
              <w:t>Supplier (Stores/Purchasing)</w:t>
            </w:r>
          </w:p>
        </w:tc>
        <w:tc>
          <w:tcPr>
            <w:tcW w:type="dxa" w:w="3135"/>
            <w:shd w:val="clear" w:color="auto" w:fill="DCE6F1"/>
          </w:tcPr>
          <w:p>
            <w:r>
              <w:rPr>
                <w:sz w:val="20"/>
              </w:rPr>
              <w:t>176</w:t>
            </w:r>
          </w:p>
        </w:tc>
        <w:tc>
          <w:tcPr>
            <w:tcW w:type="dxa" w:w="3135"/>
            <w:shd w:val="clear" w:color="auto" w:fill="DCE6F1"/>
          </w:tcPr>
          <w:p>
            <w:r>
              <w:rPr>
                <w:sz w:val="20"/>
              </w:rPr>
              <w:t>Supply chain originated</w:t>
            </w:r>
          </w:p>
        </w:tc>
      </w:tr>
      <w:tr>
        <w:tc>
          <w:tcPr>
            <w:tcW w:type="dxa" w:w="3135"/>
          </w:tcPr>
          <w:p>
            <w:r>
              <w:rPr>
                <w:sz w:val="20"/>
              </w:rPr>
              <w:t>Manufacturing Aviation — C5-7</w:t>
            </w:r>
          </w:p>
        </w:tc>
        <w:tc>
          <w:tcPr>
            <w:tcW w:type="dxa" w:w="3135"/>
          </w:tcPr>
          <w:p>
            <w:r>
              <w:rPr>
                <w:sz w:val="20"/>
              </w:rPr>
              <w:t>174</w:t>
            </w:r>
          </w:p>
        </w:tc>
        <w:tc>
          <w:tcPr>
            <w:tcW w:type="dxa" w:w="3135"/>
          </w:tcPr>
          <w:p>
            <w:r>
              <w:rPr>
                <w:sz w:val="20"/>
              </w:rPr>
            </w:r>
          </w:p>
        </w:tc>
      </w:tr>
      <w:tr>
        <w:tc>
          <w:tcPr>
            <w:tcW w:type="dxa" w:w="3135"/>
            <w:shd w:val="clear" w:color="auto" w:fill="DCE6F1"/>
          </w:tcPr>
          <w:p>
            <w:r>
              <w:rPr>
                <w:sz w:val="20"/>
              </w:rPr>
              <w:t>Paint</w:t>
            </w:r>
          </w:p>
        </w:tc>
        <w:tc>
          <w:tcPr>
            <w:tcW w:type="dxa" w:w="3135"/>
            <w:shd w:val="clear" w:color="auto" w:fill="DCE6F1"/>
          </w:tcPr>
          <w:p>
            <w:r>
              <w:rPr>
                <w:sz w:val="20"/>
              </w:rPr>
              <w:t>168</w:t>
            </w:r>
          </w:p>
        </w:tc>
        <w:tc>
          <w:tcPr>
            <w:tcW w:type="dxa" w:w="3135"/>
            <w:shd w:val="clear" w:color="auto" w:fill="DCE6F1"/>
          </w:tcPr>
          <w:p>
            <w:r>
              <w:rPr>
                <w:sz w:val="20"/>
              </w:rPr>
            </w:r>
          </w:p>
        </w:tc>
      </w:tr>
      <w:tr>
        <w:tc>
          <w:tcPr>
            <w:tcW w:type="dxa" w:w="3135"/>
          </w:tcPr>
          <w:p>
            <w:r>
              <w:rPr>
                <w:sz w:val="20"/>
              </w:rPr>
              <w:t>Manufacturing (WO) — Fabrication</w:t>
            </w:r>
          </w:p>
        </w:tc>
        <w:tc>
          <w:tcPr>
            <w:tcW w:type="dxa" w:w="3135"/>
          </w:tcPr>
          <w:p>
            <w:r>
              <w:rPr>
                <w:sz w:val="20"/>
              </w:rPr>
              <w:t>132</w:t>
            </w:r>
          </w:p>
        </w:tc>
        <w:tc>
          <w:tcPr>
            <w:tcW w:type="dxa" w:w="3135"/>
          </w:tcPr>
          <w:p>
            <w:r>
              <w:rPr>
                <w:sz w:val="20"/>
              </w:rPr>
            </w:r>
          </w:p>
        </w:tc>
      </w:tr>
      <w:tr>
        <w:tc>
          <w:tcPr>
            <w:tcW w:type="dxa" w:w="3135"/>
            <w:shd w:val="clear" w:color="auto" w:fill="DCE6F1"/>
          </w:tcPr>
          <w:p>
            <w:r>
              <w:rPr>
                <w:sz w:val="20"/>
              </w:rPr>
              <w:t>Engineering (Elect)</w:t>
            </w:r>
          </w:p>
        </w:tc>
        <w:tc>
          <w:tcPr>
            <w:tcW w:type="dxa" w:w="3135"/>
            <w:shd w:val="clear" w:color="auto" w:fill="DCE6F1"/>
          </w:tcPr>
          <w:p>
            <w:r>
              <w:rPr>
                <w:sz w:val="20"/>
              </w:rPr>
              <w:t>125</w:t>
            </w:r>
          </w:p>
        </w:tc>
        <w:tc>
          <w:tcPr>
            <w:tcW w:type="dxa" w:w="3135"/>
            <w:shd w:val="clear" w:color="auto" w:fill="DCE6F1"/>
          </w:tcPr>
          <w:p>
            <w:r>
              <w:rPr>
                <w:sz w:val="20"/>
              </w:rPr>
            </w:r>
          </w:p>
        </w:tc>
      </w:tr>
      <w:tr>
        <w:tc>
          <w:tcPr>
            <w:tcW w:type="dxa" w:w="3135"/>
          </w:tcPr>
          <w:p>
            <w:r>
              <w:rPr>
                <w:sz w:val="20"/>
              </w:rPr>
              <w:t>Manufacturing Aviation — C10</w:t>
            </w:r>
          </w:p>
        </w:tc>
        <w:tc>
          <w:tcPr>
            <w:tcW w:type="dxa" w:w="3135"/>
          </w:tcPr>
          <w:p>
            <w:r>
              <w:rPr>
                <w:sz w:val="20"/>
              </w:rPr>
              <w:t>120</w:t>
            </w:r>
          </w:p>
        </w:tc>
        <w:tc>
          <w:tcPr>
            <w:tcW w:type="dxa" w:w="3135"/>
          </w:tcPr>
          <w:p>
            <w:r>
              <w:rPr>
                <w:sz w:val="20"/>
              </w:rPr>
            </w:r>
          </w:p>
        </w:tc>
      </w:tr>
      <w:tr>
        <w:tc>
          <w:tcPr>
            <w:tcW w:type="dxa" w:w="3135"/>
            <w:shd w:val="clear" w:color="auto" w:fill="DCE6F1"/>
          </w:tcPr>
          <w:p>
            <w:r>
              <w:rPr>
                <w:sz w:val="20"/>
              </w:rPr>
              <w:t>Flame Proofing</w:t>
            </w:r>
          </w:p>
        </w:tc>
        <w:tc>
          <w:tcPr>
            <w:tcW w:type="dxa" w:w="3135"/>
            <w:shd w:val="clear" w:color="auto" w:fill="DCE6F1"/>
          </w:tcPr>
          <w:p>
            <w:r>
              <w:rPr>
                <w:sz w:val="20"/>
              </w:rPr>
              <w:t>63</w:t>
            </w:r>
          </w:p>
        </w:tc>
        <w:tc>
          <w:tcPr>
            <w:tcW w:type="dxa" w:w="3135"/>
            <w:shd w:val="clear" w:color="auto" w:fill="DCE6F1"/>
          </w:tcPr>
          <w:p>
            <w:r>
              <w:rPr>
                <w:sz w:val="20"/>
              </w:rPr>
            </w:r>
          </w:p>
        </w:tc>
      </w:tr>
    </w:tbl>
    <w:p/>
    <w:p>
      <w:r>
        <w:rPr>
          <w:i/>
          <w:sz w:val="20"/>
        </w:rPr>
        <w:t>*"General" = defect not assigned to a specific cell. 46% of all records cannot be located to a cell. See Section 5.</w:t>
      </w:r>
    </w:p>
    <w:p>
      <w:pPr>
        <w:pStyle w:val="Heading2"/>
      </w:pPr>
      <w:r>
        <w:rPr>
          <w:color w:val="2E74B5"/>
          <w:sz w:val="26"/>
        </w:rPr>
        <w:t>4.2 Top Jobs by Repair Action Count</w:t>
      </w:r>
    </w:p>
    <w:tbl>
      <w:tblPr>
        <w:tblStyle w:val="TableGrid"/>
        <w:tblW w:type="auto" w:w="0"/>
        <w:tblLook w:firstColumn="1" w:firstRow="1" w:lastColumn="0" w:lastRow="0" w:noHBand="0" w:noVBand="1" w:val="04A0"/>
      </w:tblPr>
      <w:tblGrid>
        <w:gridCol w:w="4703"/>
        <w:gridCol w:w="4703"/>
      </w:tblGrid>
      <w:tr>
        <w:tc>
          <w:tcPr>
            <w:tcW w:type="dxa" w:w="4703"/>
            <w:shd w:val="clear" w:color="auto" w:fill="1F3664"/>
          </w:tcPr>
          <w:p>
            <w:r>
              <w:rPr>
                <w:b/>
                <w:color w:val="FFFFFF"/>
                <w:sz w:val="20"/>
              </w:rPr>
              <w:t>Job Number</w:t>
            </w:r>
          </w:p>
        </w:tc>
        <w:tc>
          <w:tcPr>
            <w:tcW w:type="dxa" w:w="4703"/>
            <w:shd w:val="clear" w:color="auto" w:fill="1F3664"/>
          </w:tcPr>
          <w:p>
            <w:r>
              <w:rPr>
                <w:b/>
                <w:color w:val="FFFFFF"/>
                <w:sz w:val="20"/>
              </w:rPr>
              <w:t>Repair Actions</w:t>
            </w:r>
          </w:p>
        </w:tc>
      </w:tr>
      <w:tr>
        <w:tc>
          <w:tcPr>
            <w:tcW w:type="dxa" w:w="4703"/>
          </w:tcPr>
          <w:p>
            <w:r>
              <w:rPr>
                <w:sz w:val="20"/>
              </w:rPr>
              <w:t>801197</w:t>
            </w:r>
          </w:p>
        </w:tc>
        <w:tc>
          <w:tcPr>
            <w:tcW w:type="dxa" w:w="4703"/>
          </w:tcPr>
          <w:p>
            <w:r>
              <w:rPr>
                <w:sz w:val="20"/>
              </w:rPr>
              <w:t>91</w:t>
            </w:r>
          </w:p>
        </w:tc>
      </w:tr>
      <w:tr>
        <w:tc>
          <w:tcPr>
            <w:tcW w:type="dxa" w:w="4703"/>
            <w:shd w:val="clear" w:color="auto" w:fill="DCE6F1"/>
          </w:tcPr>
          <w:p>
            <w:r>
              <w:rPr>
                <w:sz w:val="20"/>
              </w:rPr>
              <w:t>801153</w:t>
            </w:r>
          </w:p>
        </w:tc>
        <w:tc>
          <w:tcPr>
            <w:tcW w:type="dxa" w:w="4703"/>
            <w:shd w:val="clear" w:color="auto" w:fill="DCE6F1"/>
          </w:tcPr>
          <w:p>
            <w:r>
              <w:rPr>
                <w:sz w:val="20"/>
              </w:rPr>
              <w:t>87</w:t>
            </w:r>
          </w:p>
        </w:tc>
      </w:tr>
      <w:tr>
        <w:tc>
          <w:tcPr>
            <w:tcW w:type="dxa" w:w="4703"/>
          </w:tcPr>
          <w:p>
            <w:r>
              <w:rPr>
                <w:sz w:val="20"/>
              </w:rPr>
              <w:t>801174</w:t>
            </w:r>
          </w:p>
        </w:tc>
        <w:tc>
          <w:tcPr>
            <w:tcW w:type="dxa" w:w="4703"/>
          </w:tcPr>
          <w:p>
            <w:r>
              <w:rPr>
                <w:sz w:val="20"/>
              </w:rPr>
              <w:t>85</w:t>
            </w:r>
          </w:p>
        </w:tc>
      </w:tr>
      <w:tr>
        <w:tc>
          <w:tcPr>
            <w:tcW w:type="dxa" w:w="4703"/>
            <w:shd w:val="clear" w:color="auto" w:fill="DCE6F1"/>
          </w:tcPr>
          <w:p>
            <w:r>
              <w:rPr>
                <w:sz w:val="20"/>
              </w:rPr>
              <w:t>801212</w:t>
            </w:r>
          </w:p>
        </w:tc>
        <w:tc>
          <w:tcPr>
            <w:tcW w:type="dxa" w:w="4703"/>
            <w:shd w:val="clear" w:color="auto" w:fill="DCE6F1"/>
          </w:tcPr>
          <w:p>
            <w:r>
              <w:rPr>
                <w:sz w:val="20"/>
              </w:rPr>
              <w:t>83</w:t>
            </w:r>
          </w:p>
        </w:tc>
      </w:tr>
      <w:tr>
        <w:tc>
          <w:tcPr>
            <w:tcW w:type="dxa" w:w="4703"/>
          </w:tcPr>
          <w:p>
            <w:r>
              <w:rPr>
                <w:sz w:val="20"/>
              </w:rPr>
              <w:t>801261</w:t>
            </w:r>
          </w:p>
        </w:tc>
        <w:tc>
          <w:tcPr>
            <w:tcW w:type="dxa" w:w="4703"/>
          </w:tcPr>
          <w:p>
            <w:r>
              <w:rPr>
                <w:sz w:val="20"/>
              </w:rPr>
              <w:t>80</w:t>
            </w:r>
          </w:p>
        </w:tc>
      </w:tr>
      <w:tr>
        <w:tc>
          <w:tcPr>
            <w:tcW w:type="dxa" w:w="4703"/>
            <w:shd w:val="clear" w:color="auto" w:fill="DCE6F1"/>
          </w:tcPr>
          <w:p>
            <w:r>
              <w:rPr>
                <w:sz w:val="20"/>
              </w:rPr>
              <w:t>28567</w:t>
            </w:r>
          </w:p>
        </w:tc>
        <w:tc>
          <w:tcPr>
            <w:tcW w:type="dxa" w:w="4703"/>
            <w:shd w:val="clear" w:color="auto" w:fill="DCE6F1"/>
          </w:tcPr>
          <w:p>
            <w:r>
              <w:rPr>
                <w:sz w:val="20"/>
              </w:rPr>
              <w:t>76</w:t>
            </w:r>
          </w:p>
        </w:tc>
      </w:tr>
      <w:tr>
        <w:tc>
          <w:tcPr>
            <w:tcW w:type="dxa" w:w="4703"/>
          </w:tcPr>
          <w:p>
            <w:r>
              <w:rPr>
                <w:sz w:val="20"/>
              </w:rPr>
              <w:t>801154</w:t>
            </w:r>
          </w:p>
        </w:tc>
        <w:tc>
          <w:tcPr>
            <w:tcW w:type="dxa" w:w="4703"/>
          </w:tcPr>
          <w:p>
            <w:r>
              <w:rPr>
                <w:sz w:val="20"/>
              </w:rPr>
              <w:t>74</w:t>
            </w:r>
          </w:p>
        </w:tc>
      </w:tr>
      <w:tr>
        <w:tc>
          <w:tcPr>
            <w:tcW w:type="dxa" w:w="4703"/>
            <w:shd w:val="clear" w:color="auto" w:fill="DCE6F1"/>
          </w:tcPr>
          <w:p>
            <w:r>
              <w:rPr>
                <w:sz w:val="20"/>
              </w:rPr>
              <w:t>801125</w:t>
            </w:r>
          </w:p>
        </w:tc>
        <w:tc>
          <w:tcPr>
            <w:tcW w:type="dxa" w:w="4703"/>
            <w:shd w:val="clear" w:color="auto" w:fill="DCE6F1"/>
          </w:tcPr>
          <w:p>
            <w:r>
              <w:rPr>
                <w:sz w:val="20"/>
              </w:rPr>
              <w:t>69</w:t>
            </w:r>
          </w:p>
        </w:tc>
      </w:tr>
      <w:tr>
        <w:tc>
          <w:tcPr>
            <w:tcW w:type="dxa" w:w="4703"/>
          </w:tcPr>
          <w:p>
            <w:r>
              <w:rPr>
                <w:sz w:val="20"/>
              </w:rPr>
              <w:t>801186</w:t>
            </w:r>
          </w:p>
        </w:tc>
        <w:tc>
          <w:tcPr>
            <w:tcW w:type="dxa" w:w="4703"/>
          </w:tcPr>
          <w:p>
            <w:r>
              <w:rPr>
                <w:sz w:val="20"/>
              </w:rPr>
              <w:t>67</w:t>
            </w:r>
          </w:p>
        </w:tc>
      </w:tr>
      <w:tr>
        <w:tc>
          <w:tcPr>
            <w:tcW w:type="dxa" w:w="4703"/>
            <w:shd w:val="clear" w:color="auto" w:fill="DCE6F1"/>
          </w:tcPr>
          <w:p>
            <w:r>
              <w:rPr>
                <w:sz w:val="20"/>
              </w:rPr>
              <w:t>801175</w:t>
            </w:r>
          </w:p>
        </w:tc>
        <w:tc>
          <w:tcPr>
            <w:tcW w:type="dxa" w:w="4703"/>
            <w:shd w:val="clear" w:color="auto" w:fill="DCE6F1"/>
          </w:tcPr>
          <w:p>
            <w:r>
              <w:rPr>
                <w:sz w:val="20"/>
              </w:rPr>
              <w:t>67</w:t>
            </w:r>
          </w:p>
        </w:tc>
      </w:tr>
    </w:tbl>
    <w:p/>
    <w:p>
      <w:pPr>
        <w:spacing w:before="80" w:after="160"/>
        <w:ind w:left="454"/>
      </w:pPr>
      <w:r>
        <w:rPr>
          <w:i/>
          <w:color w:val="2E74B5"/>
          <w:sz w:val="20"/>
        </w:rPr>
        <w:t>► Run a retrospective on the top 5 jobs: product type, cell, dominant defect categories.</w:t>
      </w:r>
    </w:p>
    <w:p>
      <w:pPr>
        <w:pStyle w:val="Heading2"/>
      </w:pPr>
      <w:r>
        <w:rPr>
          <w:color w:val="2E74B5"/>
          <w:sz w:val="26"/>
        </w:rPr>
        <w:t>4.3 Age of Open Items</w:t>
      </w:r>
    </w:p>
    <w:tbl>
      <w:tblPr>
        <w:tblStyle w:val="TableGrid"/>
        <w:tblW w:type="auto" w:w="0"/>
        <w:tblLook w:firstColumn="1" w:firstRow="1" w:lastColumn="0" w:lastRow="0" w:noHBand="0" w:noVBand="1" w:val="04A0"/>
      </w:tblPr>
      <w:tblGrid>
        <w:gridCol w:w="4703"/>
        <w:gridCol w:w="4703"/>
      </w:tblGrid>
      <w:tr>
        <w:tc>
          <w:tcPr>
            <w:tcW w:type="dxa" w:w="4703"/>
            <w:shd w:val="clear" w:color="auto" w:fill="1F3664"/>
          </w:tcPr>
          <w:p>
            <w:r>
              <w:rPr>
                <w:b/>
                <w:color w:val="FFFFFF"/>
                <w:sz w:val="20"/>
              </w:rPr>
              <w:t>Category</w:t>
            </w:r>
          </w:p>
        </w:tc>
        <w:tc>
          <w:tcPr>
            <w:tcW w:type="dxa" w:w="4703"/>
            <w:shd w:val="clear" w:color="auto" w:fill="1F3664"/>
          </w:tcPr>
          <w:p>
            <w:r>
              <w:rPr>
                <w:b/>
                <w:color w:val="FFFFFF"/>
                <w:sz w:val="20"/>
              </w:rPr>
              <w:t>Count</w:t>
            </w:r>
          </w:p>
        </w:tc>
      </w:tr>
      <w:tr>
        <w:tc>
          <w:tcPr>
            <w:tcW w:type="dxa" w:w="4703"/>
          </w:tcPr>
          <w:p>
            <w:r>
              <w:rPr>
                <w:sz w:val="20"/>
              </w:rPr>
              <w:t>Open items (To Do + Pending post-ship)</w:t>
            </w:r>
          </w:p>
        </w:tc>
        <w:tc>
          <w:tcPr>
            <w:tcW w:type="dxa" w:w="4703"/>
          </w:tcPr>
          <w:p>
            <w:r>
              <w:rPr>
                <w:sz w:val="20"/>
              </w:rPr>
              <w:t>219</w:t>
            </w:r>
          </w:p>
        </w:tc>
      </w:tr>
      <w:tr>
        <w:tc>
          <w:tcPr>
            <w:tcW w:type="dxa" w:w="4703"/>
            <w:shd w:val="clear" w:color="auto" w:fill="DCE6F1"/>
          </w:tcPr>
          <w:p>
            <w:r>
              <w:rPr>
                <w:sz w:val="20"/>
              </w:rPr>
              <w:t>Open more than 30 days</w:t>
            </w:r>
          </w:p>
        </w:tc>
        <w:tc>
          <w:tcPr>
            <w:tcW w:type="dxa" w:w="4703"/>
            <w:shd w:val="clear" w:color="auto" w:fill="DCE6F1"/>
          </w:tcPr>
          <w:p>
            <w:r>
              <w:rPr>
                <w:sz w:val="20"/>
              </w:rPr>
              <w:t>1,062</w:t>
            </w:r>
          </w:p>
        </w:tc>
      </w:tr>
      <w:tr>
        <w:tc>
          <w:tcPr>
            <w:tcW w:type="dxa" w:w="4703"/>
          </w:tcPr>
          <w:p>
            <w:r>
              <w:rPr>
                <w:sz w:val="20"/>
              </w:rPr>
              <w:t>Open more than 90 days</w:t>
            </w:r>
          </w:p>
        </w:tc>
        <w:tc>
          <w:tcPr>
            <w:tcW w:type="dxa" w:w="4703"/>
          </w:tcPr>
          <w:p>
            <w:r>
              <w:rPr>
                <w:sz w:val="20"/>
              </w:rPr>
              <w:t>298</w:t>
            </w:r>
          </w:p>
        </w:tc>
      </w:tr>
      <w:tr>
        <w:tc>
          <w:tcPr>
            <w:tcW w:type="dxa" w:w="4703"/>
            <w:shd w:val="clear" w:color="auto" w:fill="DCE6F1"/>
          </w:tcPr>
          <w:p>
            <w:r>
              <w:rPr>
                <w:sz w:val="20"/>
              </w:rPr>
              <w:t>Open more than 180 days</w:t>
            </w:r>
          </w:p>
        </w:tc>
        <w:tc>
          <w:tcPr>
            <w:tcW w:type="dxa" w:w="4703"/>
            <w:shd w:val="clear" w:color="auto" w:fill="DCE6F1"/>
          </w:tcPr>
          <w:p>
            <w:r>
              <w:rPr>
                <w:sz w:val="20"/>
              </w:rPr>
              <w:t>108</w:t>
            </w:r>
          </w:p>
        </w:tc>
      </w:tr>
      <w:tr>
        <w:tc>
          <w:tcPr>
            <w:tcW w:type="dxa" w:w="4703"/>
          </w:tcPr>
          <w:p>
            <w:r>
              <w:rPr>
                <w:sz w:val="20"/>
              </w:rPr>
              <w:t>Maximum days open</w:t>
            </w:r>
          </w:p>
        </w:tc>
        <w:tc>
          <w:tcPr>
            <w:tcW w:type="dxa" w:w="4703"/>
          </w:tcPr>
          <w:p>
            <w:r>
              <w:rPr>
                <w:sz w:val="20"/>
              </w:rPr>
              <w:t>506 days</w:t>
            </w:r>
          </w:p>
        </w:tc>
      </w:tr>
    </w:tbl>
    <w:p/>
    <w:p>
      <w:pPr>
        <w:spacing w:before="80" w:after="160"/>
        <w:ind w:left="454"/>
      </w:pPr>
      <w:r>
        <w:rPr>
          <w:i/>
          <w:color w:val="2E74B5"/>
          <w:sz w:val="20"/>
        </w:rPr>
        <w:t>► 108 items open more than 180 days require immediate individual review. An item open 506 days is an unresolved structural problem.</w:t>
      </w:r>
    </w:p>
    <w:p>
      <w:pPr>
        <w:pStyle w:val="Heading2"/>
      </w:pPr>
      <w:r>
        <w:rPr>
          <w:color w:val="2E74B5"/>
          <w:sz w:val="26"/>
        </w:rPr>
        <w:t>4.4 Root Cause Closure Rate</w:t>
      </w:r>
    </w:p>
    <w:tbl>
      <w:tblPr>
        <w:tblStyle w:val="TableGrid"/>
        <w:tblW w:type="auto" w:w="0"/>
        <w:tblLook w:firstColumn="1" w:firstRow="1" w:lastColumn="0" w:lastRow="0" w:noHBand="0" w:noVBand="1" w:val="04A0"/>
      </w:tblPr>
      <w:tblGrid>
        <w:gridCol w:w="4703"/>
        <w:gridCol w:w="4703"/>
      </w:tblGrid>
      <w:tr>
        <w:tc>
          <w:tcPr>
            <w:tcW w:type="dxa" w:w="4703"/>
            <w:shd w:val="clear" w:color="auto" w:fill="1F3664"/>
          </w:tcPr>
          <w:p>
            <w:r>
              <w:rPr>
                <w:b/>
                <w:color w:val="FFFFFF"/>
                <w:sz w:val="20"/>
              </w:rPr>
              <w:t>Metric</w:t>
            </w:r>
          </w:p>
        </w:tc>
        <w:tc>
          <w:tcPr>
            <w:tcW w:type="dxa" w:w="4703"/>
            <w:shd w:val="clear" w:color="auto" w:fill="1F3664"/>
          </w:tcPr>
          <w:p>
            <w:r>
              <w:rPr>
                <w:b/>
                <w:color w:val="FFFFFF"/>
                <w:sz w:val="20"/>
              </w:rPr>
              <w:t>Value</w:t>
            </w:r>
          </w:p>
        </w:tc>
      </w:tr>
      <w:tr>
        <w:tc>
          <w:tcPr>
            <w:tcW w:type="dxa" w:w="4703"/>
          </w:tcPr>
          <w:p>
            <w:r>
              <w:rPr>
                <w:sz w:val="20"/>
              </w:rPr>
              <w:t>Records with root cause owner documented</w:t>
            </w:r>
          </w:p>
        </w:tc>
        <w:tc>
          <w:tcPr>
            <w:tcW w:type="dxa" w:w="4703"/>
          </w:tcPr>
          <w:p>
            <w:r>
              <w:rPr>
                <w:sz w:val="20"/>
              </w:rPr>
              <w:t>108</w:t>
            </w:r>
          </w:p>
        </w:tc>
      </w:tr>
      <w:tr>
        <w:tc>
          <w:tcPr>
            <w:tcW w:type="dxa" w:w="4703"/>
            <w:shd w:val="clear" w:color="auto" w:fill="DCE6F1"/>
          </w:tcPr>
          <w:p>
            <w:r>
              <w:rPr>
                <w:sz w:val="20"/>
              </w:rPr>
              <w:t>Records with root cause blank</w:t>
            </w:r>
          </w:p>
        </w:tc>
        <w:tc>
          <w:tcPr>
            <w:tcW w:type="dxa" w:w="4703"/>
            <w:shd w:val="clear" w:color="auto" w:fill="DCE6F1"/>
          </w:tcPr>
          <w:p>
            <w:r>
              <w:rPr>
                <w:sz w:val="20"/>
              </w:rPr>
              <w:t>4,856</w:t>
            </w:r>
          </w:p>
        </w:tc>
      </w:tr>
      <w:tr>
        <w:tc>
          <w:tcPr>
            <w:tcW w:type="dxa" w:w="4703"/>
          </w:tcPr>
          <w:p>
            <w:r>
              <w:rPr>
                <w:sz w:val="20"/>
              </w:rPr>
              <w:t>Root cause closure rate</w:t>
            </w:r>
          </w:p>
        </w:tc>
        <w:tc>
          <w:tcPr>
            <w:tcW w:type="dxa" w:w="4703"/>
          </w:tcPr>
          <w:p>
            <w:r>
              <w:rPr>
                <w:sz w:val="20"/>
              </w:rPr>
              <w:t>2%</w:t>
            </w:r>
          </w:p>
        </w:tc>
      </w:tr>
    </w:tbl>
    <w:p/>
    <w:p>
      <w:pPr>
        <w:spacing w:before="80" w:after="160"/>
        <w:ind w:left="454"/>
      </w:pPr>
      <w:r>
        <w:rPr>
          <w:i/>
          <w:color w:val="2E74B5"/>
          <w:sz w:val="20"/>
        </w:rPr>
        <w:t>► Most significant process gap: fixing problems without asking why. The same defects will recur indefinitely without root cause closure.</w:t>
      </w:r>
    </w:p>
    <w:p>
      <w:pPr>
        <w:pStyle w:val="Heading2"/>
      </w:pPr>
      <w:r>
        <w:rPr>
          <w:color w:val="2E74B5"/>
          <w:sz w:val="26"/>
        </w:rPr>
        <w:t>4.5 Repair Time — Not Being Recorded</w:t>
      </w:r>
    </w:p>
    <w:p>
      <w:r>
        <w:t>Only 3 of 4,964 records have repair time recorded. Total logged: 2 hours. The true cost of poor quality in labour hours is invisible. Without this data there is no business case for investment in prevention.</w:t>
      </w:r>
    </w:p>
    <w:p>
      <w:pPr>
        <w:pStyle w:val="Heading1"/>
      </w:pPr>
      <w:r>
        <w:rPr>
          <w:color w:val="1F3664"/>
          <w:sz w:val="32"/>
        </w:rPr>
        <w:t>Section 5 — Data Collection Improvements</w:t>
      </w:r>
    </w:p>
    <w:p>
      <w:pPr>
        <w:pStyle w:val="Heading2"/>
      </w:pPr>
      <w:r>
        <w:rPr>
          <w:color w:val="2E74B5"/>
          <w:sz w:val="26"/>
        </w:rPr>
        <w:t>5.1 Mandatory Fields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664"/>
          </w:tcPr>
          <w:p>
            <w:r>
              <w:rPr>
                <w:b/>
                <w:color w:val="FFFFFF"/>
                <w:sz w:val="20"/>
              </w:rPr>
              <w:t>Field</w:t>
            </w:r>
          </w:p>
        </w:tc>
        <w:tc>
          <w:tcPr>
            <w:tcW w:type="dxa" w:w="2351"/>
            <w:shd w:val="clear" w:color="auto" w:fill="1F3664"/>
          </w:tcPr>
          <w:p>
            <w:r>
              <w:rPr>
                <w:b/>
                <w:color w:val="FFFFFF"/>
                <w:sz w:val="20"/>
              </w:rPr>
              <w:t>Current State</w:t>
            </w:r>
          </w:p>
        </w:tc>
        <w:tc>
          <w:tcPr>
            <w:tcW w:type="dxa" w:w="2351"/>
            <w:shd w:val="clear" w:color="auto" w:fill="1F3664"/>
          </w:tcPr>
          <w:p>
            <w:r>
              <w:rPr>
                <w:b/>
                <w:color w:val="FFFFFF"/>
                <w:sz w:val="20"/>
              </w:rPr>
              <w:t>Required State</w:t>
            </w:r>
          </w:p>
        </w:tc>
        <w:tc>
          <w:tcPr>
            <w:tcW w:type="dxa" w:w="2351"/>
            <w:shd w:val="clear" w:color="auto" w:fill="1F3664"/>
          </w:tcPr>
          <w:p>
            <w:r>
              <w:rPr>
                <w:b/>
                <w:color w:val="FFFFFF"/>
                <w:sz w:val="20"/>
              </w:rPr>
              <w:t>Why</w:t>
            </w:r>
          </w:p>
        </w:tc>
      </w:tr>
      <w:tr>
        <w:tc>
          <w:tcPr>
            <w:tcW w:type="dxa" w:w="2351"/>
          </w:tcPr>
          <w:p>
            <w:r>
              <w:rPr>
                <w:sz w:val="20"/>
              </w:rPr>
              <w:t>Initiator</w:t>
            </w:r>
          </w:p>
        </w:tc>
        <w:tc>
          <w:tcPr>
            <w:tcW w:type="dxa" w:w="2351"/>
          </w:tcPr>
          <w:p>
            <w:r>
              <w:rPr>
                <w:sz w:val="20"/>
              </w:rPr>
              <w:t>Blank on 29%</w:t>
            </w:r>
          </w:p>
        </w:tc>
        <w:tc>
          <w:tcPr>
            <w:tcW w:type="dxa" w:w="2351"/>
          </w:tcPr>
          <w:p>
            <w:r>
              <w:rPr>
                <w:sz w:val="20"/>
              </w:rPr>
              <w:t>Mandatory at creation</w:t>
            </w:r>
          </w:p>
        </w:tc>
        <w:tc>
          <w:tcPr>
            <w:tcW w:type="dxa" w:w="2351"/>
          </w:tcPr>
          <w:p>
            <w:r>
              <w:rPr>
                <w:sz w:val="20"/>
              </w:rPr>
              <w:t>Determines where issues are caught in the process</w:t>
            </w:r>
          </w:p>
        </w:tc>
      </w:tr>
      <w:tr>
        <w:tc>
          <w:tcPr>
            <w:tcW w:type="dxa" w:w="2351"/>
            <w:shd w:val="clear" w:color="auto" w:fill="DCE6F1"/>
          </w:tcPr>
          <w:p>
            <w:r>
              <w:rPr>
                <w:sz w:val="20"/>
              </w:rPr>
              <w:t>Label (Cell)</w:t>
            </w:r>
          </w:p>
        </w:tc>
        <w:tc>
          <w:tcPr>
            <w:tcW w:type="dxa" w:w="2351"/>
            <w:shd w:val="clear" w:color="auto" w:fill="DCE6F1"/>
          </w:tcPr>
          <w:p>
            <w:r>
              <w:rPr>
                <w:sz w:val="20"/>
              </w:rPr>
              <w:t>"General" 46% of time</w:t>
            </w:r>
          </w:p>
        </w:tc>
        <w:tc>
          <w:tcPr>
            <w:tcW w:type="dxa" w:w="2351"/>
            <w:shd w:val="clear" w:color="auto" w:fill="DCE6F1"/>
          </w:tcPr>
          <w:p>
            <w:r>
              <w:rPr>
                <w:sz w:val="20"/>
              </w:rPr>
              <w:t>Mandatory specific cell</w:t>
            </w:r>
          </w:p>
        </w:tc>
        <w:tc>
          <w:tcPr>
            <w:tcW w:type="dxa" w:w="2351"/>
            <w:shd w:val="clear" w:color="auto" w:fill="DCE6F1"/>
          </w:tcPr>
          <w:p>
            <w:r>
              <w:rPr>
                <w:sz w:val="20"/>
              </w:rPr>
              <w:t>Cannot fix what you cannot locate</w:t>
            </w:r>
          </w:p>
        </w:tc>
      </w:tr>
      <w:tr>
        <w:tc>
          <w:tcPr>
            <w:tcW w:type="dxa" w:w="2351"/>
          </w:tcPr>
          <w:p>
            <w:r>
              <w:rPr>
                <w:sz w:val="20"/>
              </w:rPr>
              <w:t>Root Cause Owner</w:t>
            </w:r>
          </w:p>
        </w:tc>
        <w:tc>
          <w:tcPr>
            <w:tcW w:type="dxa" w:w="2351"/>
          </w:tcPr>
          <w:p>
            <w:r>
              <w:rPr>
                <w:sz w:val="20"/>
              </w:rPr>
              <w:t>Blank on 98%</w:t>
            </w:r>
          </w:p>
        </w:tc>
        <w:tc>
          <w:tcPr>
            <w:tcW w:type="dxa" w:w="2351"/>
          </w:tcPr>
          <w:p>
            <w:r>
              <w:rPr>
                <w:sz w:val="20"/>
              </w:rPr>
              <w:t>Mandatory before closure</w:t>
            </w:r>
          </w:p>
        </w:tc>
        <w:tc>
          <w:tcPr>
            <w:tcW w:type="dxa" w:w="2351"/>
          </w:tcPr>
          <w:p>
            <w:r>
              <w:rPr>
                <w:sz w:val="20"/>
              </w:rPr>
              <w:t>Without this, every fix is one-off</w:t>
            </w:r>
          </w:p>
        </w:tc>
      </w:tr>
      <w:tr>
        <w:tc>
          <w:tcPr>
            <w:tcW w:type="dxa" w:w="2351"/>
            <w:shd w:val="clear" w:color="auto" w:fill="DCE6F1"/>
          </w:tcPr>
          <w:p>
            <w:r>
              <w:rPr>
                <w:sz w:val="20"/>
              </w:rPr>
              <w:t>Repair Time (Hours)</w:t>
            </w:r>
          </w:p>
        </w:tc>
        <w:tc>
          <w:tcPr>
            <w:tcW w:type="dxa" w:w="2351"/>
            <w:shd w:val="clear" w:color="auto" w:fill="DCE6F1"/>
          </w:tcPr>
          <w:p>
            <w:r>
              <w:rPr>
                <w:sz w:val="20"/>
              </w:rPr>
              <w:t>Recorded on 3 records</w:t>
            </w:r>
          </w:p>
        </w:tc>
        <w:tc>
          <w:tcPr>
            <w:tcW w:type="dxa" w:w="2351"/>
            <w:shd w:val="clear" w:color="auto" w:fill="DCE6F1"/>
          </w:tcPr>
          <w:p>
            <w:r>
              <w:rPr>
                <w:sz w:val="20"/>
              </w:rPr>
              <w:t>Mandatory at closure</w:t>
            </w:r>
          </w:p>
        </w:tc>
        <w:tc>
          <w:tcPr>
            <w:tcW w:type="dxa" w:w="2351"/>
            <w:shd w:val="clear" w:color="auto" w:fill="DCE6F1"/>
          </w:tcPr>
          <w:p>
            <w:r>
              <w:rPr>
                <w:sz w:val="20"/>
              </w:rPr>
              <w:t>Makes cost of poor quality visible</w:t>
            </w:r>
          </w:p>
        </w:tc>
      </w:tr>
      <w:tr>
        <w:tc>
          <w:tcPr>
            <w:tcW w:type="dxa" w:w="2351"/>
          </w:tcPr>
          <w:p>
            <w:r>
              <w:rPr>
                <w:sz w:val="20"/>
              </w:rPr>
              <w:t>Part Number</w:t>
            </w:r>
          </w:p>
        </w:tc>
        <w:tc>
          <w:tcPr>
            <w:tcW w:type="dxa" w:w="2351"/>
          </w:tcPr>
          <w:p>
            <w:r>
              <w:rPr>
                <w:sz w:val="20"/>
              </w:rPr>
              <w:t>Largely blank</w:t>
            </w:r>
          </w:p>
        </w:tc>
        <w:tc>
          <w:tcPr>
            <w:tcW w:type="dxa" w:w="2351"/>
          </w:tcPr>
          <w:p>
            <w:r>
              <w:rPr>
                <w:sz w:val="20"/>
              </w:rPr>
              <w:t>Mandatory where applicable</w:t>
            </w:r>
          </w:p>
        </w:tc>
        <w:tc>
          <w:tcPr>
            <w:tcW w:type="dxa" w:w="2351"/>
          </w:tcPr>
          <w:p>
            <w:r>
              <w:rPr>
                <w:sz w:val="20"/>
              </w:rPr>
              <w:t>Enables BOM and supply chain analysis</w:t>
            </w:r>
          </w:p>
        </w:tc>
      </w:tr>
    </w:tbl>
    <w:p/>
    <w:p>
      <w:pPr>
        <w:pStyle w:val="Heading2"/>
      </w:pPr>
      <w:r>
        <w:rPr>
          <w:color w:val="2E74B5"/>
          <w:sz w:val="26"/>
        </w:rPr>
        <w:t>5.2 Retire the "General" Label</w:t>
      </w:r>
    </w:p>
    <w:p>
      <w:r>
        <w:t>"Manufacturing Aviation — General" must be retired. It absorbs 46% of all repair actions and makes cell-level analysis impossible. Replace with a structured label set mirroring actual cell/area structure. "General" as an escape hatch should not exist.</w:t>
      </w:r>
    </w:p>
    <w:p>
      <w:pPr>
        <w:pStyle w:val="Heading2"/>
      </w:pPr>
      <w:r>
        <w:rPr>
          <w:color w:val="2E74B5"/>
          <w:sz w:val="26"/>
        </w:rPr>
        <w:t>5.3 Standardise the Concern Field — Controlled Dropdown</w:t>
      </w:r>
    </w:p>
    <w:tbl>
      <w:tblPr>
        <w:tblStyle w:val="TableGrid"/>
        <w:tblW w:type="auto" w:w="0"/>
        <w:tblLook w:firstColumn="1" w:firstRow="1" w:lastColumn="0" w:lastRow="0" w:noHBand="0" w:noVBand="1" w:val="04A0"/>
      </w:tblPr>
      <w:tblGrid>
        <w:gridCol w:w="4703"/>
        <w:gridCol w:w="4703"/>
      </w:tblGrid>
      <w:tr>
        <w:tc>
          <w:tcPr>
            <w:tcW w:type="dxa" w:w="4703"/>
            <w:shd w:val="clear" w:color="auto" w:fill="1F3664"/>
          </w:tcPr>
          <w:p>
            <w:r>
              <w:rPr>
                <w:b/>
                <w:color w:val="FFFFFF"/>
                <w:sz w:val="20"/>
              </w:rPr>
              <w:t>Category</w:t>
            </w:r>
          </w:p>
        </w:tc>
        <w:tc>
          <w:tcPr>
            <w:tcW w:type="dxa" w:w="4703"/>
            <w:shd w:val="clear" w:color="auto" w:fill="1F3664"/>
          </w:tcPr>
          <w:p>
            <w:r>
              <w:rPr>
                <w:b/>
                <w:color w:val="FFFFFF"/>
                <w:sz w:val="20"/>
              </w:rPr>
              <w:t>Examples</w:t>
            </w:r>
          </w:p>
        </w:tc>
      </w:tr>
      <w:tr>
        <w:tc>
          <w:tcPr>
            <w:tcW w:type="dxa" w:w="4703"/>
          </w:tcPr>
          <w:p>
            <w:r>
              <w:rPr>
                <w:sz w:val="20"/>
              </w:rPr>
              <w:t>Missing — not in BOM</w:t>
            </w:r>
          </w:p>
        </w:tc>
        <w:tc>
          <w:tcPr>
            <w:tcW w:type="dxa" w:w="4703"/>
          </w:tcPr>
          <w:p>
            <w:r>
              <w:rPr>
                <w:sz w:val="20"/>
              </w:rPr>
              <w:t>Part not specified in BOM</w:t>
            </w:r>
          </w:p>
        </w:tc>
      </w:tr>
      <w:tr>
        <w:tc>
          <w:tcPr>
            <w:tcW w:type="dxa" w:w="4703"/>
            <w:shd w:val="clear" w:color="auto" w:fill="DCE6F1"/>
          </w:tcPr>
          <w:p>
            <w:r>
              <w:rPr>
                <w:sz w:val="20"/>
              </w:rPr>
              <w:t>Missing — BOM correct, not fitted</w:t>
            </w:r>
          </w:p>
        </w:tc>
        <w:tc>
          <w:tcPr>
            <w:tcW w:type="dxa" w:w="4703"/>
            <w:shd w:val="clear" w:color="auto" w:fill="DCE6F1"/>
          </w:tcPr>
          <w:p>
            <w:r>
              <w:rPr>
                <w:sz w:val="20"/>
              </w:rPr>
              <w:t>Part specified, not installed</w:t>
            </w:r>
          </w:p>
        </w:tc>
      </w:tr>
      <w:tr>
        <w:tc>
          <w:tcPr>
            <w:tcW w:type="dxa" w:w="4703"/>
          </w:tcPr>
          <w:p>
            <w:r>
              <w:rPr>
                <w:sz w:val="20"/>
              </w:rPr>
              <w:t>Incorrect — wrong part</w:t>
            </w:r>
          </w:p>
        </w:tc>
        <w:tc>
          <w:tcPr>
            <w:tcW w:type="dxa" w:w="4703"/>
          </w:tcPr>
          <w:p>
            <w:r>
              <w:rPr>
                <w:sz w:val="20"/>
              </w:rPr>
              <w:t>Wrong specification fitted</w:t>
            </w:r>
          </w:p>
        </w:tc>
      </w:tr>
      <w:tr>
        <w:tc>
          <w:tcPr>
            <w:tcW w:type="dxa" w:w="4703"/>
            <w:shd w:val="clear" w:color="auto" w:fill="DCE6F1"/>
          </w:tcPr>
          <w:p>
            <w:r>
              <w:rPr>
                <w:sz w:val="20"/>
              </w:rPr>
              <w:t>Incorrect — wrong sealant/fastener</w:t>
            </w:r>
          </w:p>
        </w:tc>
        <w:tc>
          <w:tcPr>
            <w:tcW w:type="dxa" w:w="4703"/>
            <w:shd w:val="clear" w:color="auto" w:fill="DCE6F1"/>
          </w:tcPr>
          <w:p>
            <w:r>
              <w:rPr>
                <w:sz w:val="20"/>
              </w:rPr>
              <w:t>Wrong material used</w:t>
            </w:r>
          </w:p>
        </w:tc>
      </w:tr>
      <w:tr>
        <w:tc>
          <w:tcPr>
            <w:tcW w:type="dxa" w:w="4703"/>
          </w:tcPr>
          <w:p>
            <w:r>
              <w:rPr>
                <w:sz w:val="20"/>
              </w:rPr>
              <w:t>Loose / Not secured</w:t>
            </w:r>
          </w:p>
        </w:tc>
        <w:tc>
          <w:tcPr>
            <w:tcW w:type="dxa" w:w="4703"/>
          </w:tcPr>
          <w:p>
            <w:r>
              <w:rPr>
                <w:sz w:val="20"/>
              </w:rPr>
              <w:t>Fasteners, fittings, guards</w:t>
            </w:r>
          </w:p>
        </w:tc>
      </w:tr>
      <w:tr>
        <w:tc>
          <w:tcPr>
            <w:tcW w:type="dxa" w:w="4703"/>
            <w:shd w:val="clear" w:color="auto" w:fill="DCE6F1"/>
          </w:tcPr>
          <w:p>
            <w:r>
              <w:rPr>
                <w:sz w:val="20"/>
              </w:rPr>
              <w:t>Not sealed / Leaking</w:t>
            </w:r>
          </w:p>
        </w:tc>
        <w:tc>
          <w:tcPr>
            <w:tcW w:type="dxa" w:w="4703"/>
            <w:shd w:val="clear" w:color="auto" w:fill="DCE6F1"/>
          </w:tcPr>
          <w:p>
            <w:r>
              <w:rPr>
                <w:sz w:val="20"/>
              </w:rPr>
              <w:t>Seals, gaskets, connections</w:t>
            </w:r>
          </w:p>
        </w:tc>
      </w:tr>
      <w:tr>
        <w:tc>
          <w:tcPr>
            <w:tcW w:type="dxa" w:w="4703"/>
          </w:tcPr>
          <w:p>
            <w:r>
              <w:rPr>
                <w:sz w:val="20"/>
              </w:rPr>
              <w:t>Not working / Functional failure</w:t>
            </w:r>
          </w:p>
        </w:tc>
        <w:tc>
          <w:tcPr>
            <w:tcW w:type="dxa" w:w="4703"/>
          </w:tcPr>
          <w:p>
            <w:r>
              <w:rPr>
                <w:sz w:val="20"/>
              </w:rPr>
              <w:t>Electrical, pneumatic, hydraulic</w:t>
            </w:r>
          </w:p>
        </w:tc>
      </w:tr>
      <w:tr>
        <w:tc>
          <w:tcPr>
            <w:tcW w:type="dxa" w:w="4703"/>
            <w:shd w:val="clear" w:color="auto" w:fill="DCE6F1"/>
          </w:tcPr>
          <w:p>
            <w:r>
              <w:rPr>
                <w:sz w:val="20"/>
              </w:rPr>
              <w:t>Damaged</w:t>
            </w:r>
          </w:p>
        </w:tc>
        <w:tc>
          <w:tcPr>
            <w:tcW w:type="dxa" w:w="4703"/>
            <w:shd w:val="clear" w:color="auto" w:fill="DCE6F1"/>
          </w:tcPr>
          <w:p>
            <w:r>
              <w:rPr>
                <w:sz w:val="20"/>
              </w:rPr>
              <w:t>Transport, handling, manufacturing damage</w:t>
            </w:r>
          </w:p>
        </w:tc>
      </w:tr>
      <w:tr>
        <w:tc>
          <w:tcPr>
            <w:tcW w:type="dxa" w:w="4703"/>
          </w:tcPr>
          <w:p>
            <w:r>
              <w:rPr>
                <w:sz w:val="20"/>
              </w:rPr>
              <w:t>Documentation missing</w:t>
            </w:r>
          </w:p>
        </w:tc>
        <w:tc>
          <w:tcPr>
            <w:tcW w:type="dxa" w:w="4703"/>
          </w:tcPr>
          <w:p>
            <w:r>
              <w:rPr>
                <w:sz w:val="20"/>
              </w:rPr>
              <w:t>Manuals, certificates, forms</w:t>
            </w:r>
          </w:p>
        </w:tc>
      </w:tr>
      <w:tr>
        <w:tc>
          <w:tcPr>
            <w:tcW w:type="dxa" w:w="4703"/>
            <w:shd w:val="clear" w:color="auto" w:fill="DCE6F1"/>
          </w:tcPr>
          <w:p>
            <w:r>
              <w:rPr>
                <w:sz w:val="20"/>
              </w:rPr>
              <w:t>Documentation incorrect</w:t>
            </w:r>
          </w:p>
        </w:tc>
        <w:tc>
          <w:tcPr>
            <w:tcW w:type="dxa" w:w="4703"/>
            <w:shd w:val="clear" w:color="auto" w:fill="DCE6F1"/>
          </w:tcPr>
          <w:p>
            <w:r>
              <w:rPr>
                <w:sz w:val="20"/>
              </w:rPr>
              <w:t>Wrong version, incomplete</w:t>
            </w:r>
          </w:p>
        </w:tc>
      </w:tr>
      <w:tr>
        <w:tc>
          <w:tcPr>
            <w:tcW w:type="dxa" w:w="4703"/>
          </w:tcPr>
          <w:p>
            <w:r>
              <w:rPr>
                <w:sz w:val="20"/>
              </w:rPr>
              <w:t>Not painted / Finish defect</w:t>
            </w:r>
          </w:p>
        </w:tc>
        <w:tc>
          <w:tcPr>
            <w:tcW w:type="dxa" w:w="4703"/>
          </w:tcPr>
          <w:p>
            <w:r>
              <w:rPr>
                <w:sz w:val="20"/>
              </w:rPr>
              <w:t>Paint, coating, surface</w:t>
            </w:r>
          </w:p>
        </w:tc>
      </w:tr>
      <w:tr>
        <w:tc>
          <w:tcPr>
            <w:tcW w:type="dxa" w:w="4703"/>
            <w:shd w:val="clear" w:color="auto" w:fill="DCE6F1"/>
          </w:tcPr>
          <w:p>
            <w:r>
              <w:rPr>
                <w:sz w:val="20"/>
              </w:rPr>
              <w:t>Clash / Interference</w:t>
            </w:r>
          </w:p>
        </w:tc>
        <w:tc>
          <w:tcPr>
            <w:tcW w:type="dxa" w:w="4703"/>
            <w:shd w:val="clear" w:color="auto" w:fill="DCE6F1"/>
          </w:tcPr>
          <w:p>
            <w:r>
              <w:rPr>
                <w:sz w:val="20"/>
              </w:rPr>
              <w:t>Physical conflict between components</w:t>
            </w:r>
          </w:p>
        </w:tc>
      </w:tr>
      <w:tr>
        <w:tc>
          <w:tcPr>
            <w:tcW w:type="dxa" w:w="4703"/>
          </w:tcPr>
          <w:p>
            <w:r>
              <w:rPr>
                <w:sz w:val="20"/>
              </w:rPr>
              <w:t>Compliance — label/plate</w:t>
            </w:r>
          </w:p>
        </w:tc>
        <w:tc>
          <w:tcPr>
            <w:tcW w:type="dxa" w:w="4703"/>
          </w:tcPr>
          <w:p>
            <w:r>
              <w:rPr>
                <w:sz w:val="20"/>
              </w:rPr>
              <w:t>Regulatory labels, compliance plates</w:t>
            </w:r>
          </w:p>
        </w:tc>
      </w:tr>
      <w:tr>
        <w:tc>
          <w:tcPr>
            <w:tcW w:type="dxa" w:w="4703"/>
            <w:shd w:val="clear" w:color="auto" w:fill="DCE6F1"/>
          </w:tcPr>
          <w:p>
            <w:r>
              <w:rPr>
                <w:sz w:val="20"/>
              </w:rPr>
              <w:t>Compliance — certification</w:t>
            </w:r>
          </w:p>
        </w:tc>
        <w:tc>
          <w:tcPr>
            <w:tcW w:type="dxa" w:w="4703"/>
            <w:shd w:val="clear" w:color="auto" w:fill="DCE6F1"/>
          </w:tcPr>
          <w:p>
            <w:r>
              <w:rPr>
                <w:sz w:val="20"/>
              </w:rPr>
              <w:t>Missing or out-of-date certificates</w:t>
            </w:r>
          </w:p>
        </w:tc>
      </w:tr>
      <w:tr>
        <w:tc>
          <w:tcPr>
            <w:tcW w:type="dxa" w:w="4703"/>
          </w:tcPr>
          <w:p>
            <w:r>
              <w:rPr>
                <w:sz w:val="20"/>
              </w:rPr>
              <w:t>Other (with mandatory description)</w:t>
            </w:r>
          </w:p>
        </w:tc>
        <w:tc>
          <w:tcPr>
            <w:tcW w:type="dxa" w:w="4703"/>
          </w:tcPr>
          <w:p>
            <w:r>
              <w:rPr>
                <w:sz w:val="20"/>
              </w:rPr>
            </w:r>
          </w:p>
        </w:tc>
      </w:tr>
    </w:tbl>
    <w:p/>
    <w:p>
      <w:pPr>
        <w:pStyle w:val="Heading2"/>
      </w:pPr>
      <w:r>
        <w:rPr>
          <w:color w:val="2E74B5"/>
          <w:sz w:val="26"/>
        </w:rPr>
        <w:t>5.4 Root Cause Category Field</w:t>
      </w:r>
    </w:p>
    <w:tbl>
      <w:tblPr>
        <w:tblStyle w:val="TableGrid"/>
        <w:tblW w:type="auto" w:w="0"/>
        <w:tblLook w:firstColumn="1" w:firstRow="1" w:lastColumn="0" w:lastRow="0" w:noHBand="0" w:noVBand="1" w:val="04A0"/>
      </w:tblPr>
      <w:tblGrid>
        <w:gridCol w:w="4703"/>
        <w:gridCol w:w="4703"/>
      </w:tblGrid>
      <w:tr>
        <w:tc>
          <w:tcPr>
            <w:tcW w:type="dxa" w:w="4703"/>
            <w:shd w:val="clear" w:color="auto" w:fill="1F3664"/>
          </w:tcPr>
          <w:p>
            <w:r>
              <w:rPr>
                <w:b/>
                <w:color w:val="FFFFFF"/>
                <w:sz w:val="20"/>
              </w:rPr>
              <w:t>Category</w:t>
            </w:r>
          </w:p>
        </w:tc>
        <w:tc>
          <w:tcPr>
            <w:tcW w:type="dxa" w:w="4703"/>
            <w:shd w:val="clear" w:color="auto" w:fill="1F3664"/>
          </w:tcPr>
          <w:p>
            <w:r>
              <w:rPr>
                <w:b/>
                <w:color w:val="FFFFFF"/>
                <w:sz w:val="20"/>
              </w:rPr>
              <w:t>Description</w:t>
            </w:r>
          </w:p>
        </w:tc>
      </w:tr>
      <w:tr>
        <w:tc>
          <w:tcPr>
            <w:tcW w:type="dxa" w:w="4703"/>
          </w:tcPr>
          <w:p>
            <w:r>
              <w:rPr>
                <w:sz w:val="20"/>
              </w:rPr>
              <w:t>BOM incomplete</w:t>
            </w:r>
          </w:p>
        </w:tc>
        <w:tc>
          <w:tcPr>
            <w:tcW w:type="dxa" w:w="4703"/>
          </w:tcPr>
          <w:p>
            <w:r>
              <w:rPr>
                <w:sz w:val="20"/>
              </w:rPr>
              <w:t>Item not in bill of materials</w:t>
            </w:r>
          </w:p>
        </w:tc>
      </w:tr>
      <w:tr>
        <w:tc>
          <w:tcPr>
            <w:tcW w:type="dxa" w:w="4703"/>
            <w:shd w:val="clear" w:color="auto" w:fill="DCE6F1"/>
          </w:tcPr>
          <w:p>
            <w:r>
              <w:rPr>
                <w:sz w:val="20"/>
              </w:rPr>
              <w:t>BOM incorrect</w:t>
            </w:r>
          </w:p>
        </w:tc>
        <w:tc>
          <w:tcPr>
            <w:tcW w:type="dxa" w:w="4703"/>
            <w:shd w:val="clear" w:color="auto" w:fill="DCE6F1"/>
          </w:tcPr>
          <w:p>
            <w:r>
              <w:rPr>
                <w:sz w:val="20"/>
              </w:rPr>
              <w:t>Wrong item or quantity in BOM</w:t>
            </w:r>
          </w:p>
        </w:tc>
      </w:tr>
      <w:tr>
        <w:tc>
          <w:tcPr>
            <w:tcW w:type="dxa" w:w="4703"/>
          </w:tcPr>
          <w:p>
            <w:r>
              <w:rPr>
                <w:sz w:val="20"/>
              </w:rPr>
              <w:t>Engineering drawing error</w:t>
            </w:r>
          </w:p>
        </w:tc>
        <w:tc>
          <w:tcPr>
            <w:tcW w:type="dxa" w:w="4703"/>
          </w:tcPr>
          <w:p>
            <w:r>
              <w:rPr>
                <w:sz w:val="20"/>
              </w:rPr>
              <w:t>Error in drawing released to floor</w:t>
            </w:r>
          </w:p>
        </w:tc>
      </w:tr>
      <w:tr>
        <w:tc>
          <w:tcPr>
            <w:tcW w:type="dxa" w:w="4703"/>
            <w:shd w:val="clear" w:color="auto" w:fill="DCE6F1"/>
          </w:tcPr>
          <w:p>
            <w:r>
              <w:rPr>
                <w:sz w:val="20"/>
              </w:rPr>
              <w:t>Engineering package late</w:t>
            </w:r>
          </w:p>
        </w:tc>
        <w:tc>
          <w:tcPr>
            <w:tcW w:type="dxa" w:w="4703"/>
            <w:shd w:val="clear" w:color="auto" w:fill="DCE6F1"/>
          </w:tcPr>
          <w:p>
            <w:r>
              <w:rPr>
                <w:sz w:val="20"/>
              </w:rPr>
              <w:t>Late release caused downstream issue</w:t>
            </w:r>
          </w:p>
        </w:tc>
      </w:tr>
      <w:tr>
        <w:tc>
          <w:tcPr>
            <w:tcW w:type="dxa" w:w="4703"/>
          </w:tcPr>
          <w:p>
            <w:r>
              <w:rPr>
                <w:sz w:val="20"/>
              </w:rPr>
              <w:t>Assembly omission</w:t>
            </w:r>
          </w:p>
        </w:tc>
        <w:tc>
          <w:tcPr>
            <w:tcW w:type="dxa" w:w="4703"/>
          </w:tcPr>
          <w:p>
            <w:r>
              <w:rPr>
                <w:sz w:val="20"/>
              </w:rPr>
              <w:t>BOM correct, item not fitted</w:t>
            </w:r>
          </w:p>
        </w:tc>
      </w:tr>
      <w:tr>
        <w:tc>
          <w:tcPr>
            <w:tcW w:type="dxa" w:w="4703"/>
            <w:shd w:val="clear" w:color="auto" w:fill="DCE6F1"/>
          </w:tcPr>
          <w:p>
            <w:r>
              <w:rPr>
                <w:sz w:val="20"/>
              </w:rPr>
              <w:t>Wrong specification</w:t>
            </w:r>
          </w:p>
        </w:tc>
        <w:tc>
          <w:tcPr>
            <w:tcW w:type="dxa" w:w="4703"/>
            <w:shd w:val="clear" w:color="auto" w:fill="DCE6F1"/>
          </w:tcPr>
          <w:p>
            <w:r>
              <w:rPr>
                <w:sz w:val="20"/>
              </w:rPr>
              <w:t>Built to wrong version/spec</w:t>
            </w:r>
          </w:p>
        </w:tc>
      </w:tr>
      <w:tr>
        <w:tc>
          <w:tcPr>
            <w:tcW w:type="dxa" w:w="4703"/>
          </w:tcPr>
          <w:p>
            <w:r>
              <w:rPr>
                <w:sz w:val="20"/>
              </w:rPr>
              <w:t>Supplier defect</w:t>
            </w:r>
          </w:p>
        </w:tc>
        <w:tc>
          <w:tcPr>
            <w:tcW w:type="dxa" w:w="4703"/>
          </w:tcPr>
          <w:p>
            <w:r>
              <w:rPr>
                <w:sz w:val="20"/>
              </w:rPr>
              <w:t>Part received defective or wrong</w:t>
            </w:r>
          </w:p>
        </w:tc>
      </w:tr>
      <w:tr>
        <w:tc>
          <w:tcPr>
            <w:tcW w:type="dxa" w:w="4703"/>
            <w:shd w:val="clear" w:color="auto" w:fill="DCE6F1"/>
          </w:tcPr>
          <w:p>
            <w:r>
              <w:rPr>
                <w:sz w:val="20"/>
              </w:rPr>
              <w:t>Supplier late delivery</w:t>
            </w:r>
          </w:p>
        </w:tc>
        <w:tc>
          <w:tcPr>
            <w:tcW w:type="dxa" w:w="4703"/>
            <w:shd w:val="clear" w:color="auto" w:fill="DCE6F1"/>
          </w:tcPr>
          <w:p>
            <w:r>
              <w:rPr>
                <w:sz w:val="20"/>
              </w:rPr>
              <w:t>Material not available when needed</w:t>
            </w:r>
          </w:p>
        </w:tc>
      </w:tr>
      <w:tr>
        <w:tc>
          <w:tcPr>
            <w:tcW w:type="dxa" w:w="4703"/>
          </w:tcPr>
          <w:p>
            <w:r>
              <w:rPr>
                <w:sz w:val="20"/>
              </w:rPr>
              <w:t>Process not followed</w:t>
            </w:r>
          </w:p>
        </w:tc>
        <w:tc>
          <w:tcPr>
            <w:tcW w:type="dxa" w:w="4703"/>
          </w:tcPr>
          <w:p>
            <w:r>
              <w:rPr>
                <w:sz w:val="20"/>
              </w:rPr>
              <w:t>Correct process exists, not followed</w:t>
            </w:r>
          </w:p>
        </w:tc>
      </w:tr>
      <w:tr>
        <w:tc>
          <w:tcPr>
            <w:tcW w:type="dxa" w:w="4703"/>
            <w:shd w:val="clear" w:color="auto" w:fill="DCE6F1"/>
          </w:tcPr>
          <w:p>
            <w:r>
              <w:rPr>
                <w:sz w:val="20"/>
              </w:rPr>
              <w:t>Process does not exist</w:t>
            </w:r>
          </w:p>
        </w:tc>
        <w:tc>
          <w:tcPr>
            <w:tcW w:type="dxa" w:w="4703"/>
            <w:shd w:val="clear" w:color="auto" w:fill="DCE6F1"/>
          </w:tcPr>
          <w:p>
            <w:r>
              <w:rPr>
                <w:sz w:val="20"/>
              </w:rPr>
              <w:t>No process defined</w:t>
            </w:r>
          </w:p>
        </w:tc>
      </w:tr>
      <w:tr>
        <w:tc>
          <w:tcPr>
            <w:tcW w:type="dxa" w:w="4703"/>
          </w:tcPr>
          <w:p>
            <w:r>
              <w:rPr>
                <w:sz w:val="20"/>
              </w:rPr>
              <w:t>Documentation not filed</w:t>
            </w:r>
          </w:p>
        </w:tc>
        <w:tc>
          <w:tcPr>
            <w:tcW w:type="dxa" w:w="4703"/>
          </w:tcPr>
          <w:p>
            <w:r>
              <w:rPr>
                <w:sz w:val="20"/>
              </w:rPr>
              <w:t>Physical/digital filing failure</w:t>
            </w:r>
          </w:p>
        </w:tc>
      </w:tr>
      <w:tr>
        <w:tc>
          <w:tcPr>
            <w:tcW w:type="dxa" w:w="4703"/>
            <w:shd w:val="clear" w:color="auto" w:fill="DCE6F1"/>
          </w:tcPr>
          <w:p>
            <w:r>
              <w:rPr>
                <w:sz w:val="20"/>
              </w:rPr>
              <w:t>Sales specification error</w:t>
            </w:r>
          </w:p>
        </w:tc>
        <w:tc>
          <w:tcPr>
            <w:tcW w:type="dxa" w:w="4703"/>
            <w:shd w:val="clear" w:color="auto" w:fill="DCE6F1"/>
          </w:tcPr>
          <w:p>
            <w:r>
              <w:rPr>
                <w:sz w:val="20"/>
              </w:rPr>
              <w:t>Incorrect spec at order stage</w:t>
            </w:r>
          </w:p>
        </w:tc>
      </w:tr>
      <w:tr>
        <w:tc>
          <w:tcPr>
            <w:tcW w:type="dxa" w:w="4703"/>
          </w:tcPr>
          <w:p>
            <w:r>
              <w:rPr>
                <w:sz w:val="20"/>
              </w:rPr>
              <w:t>Customer-requested change</w:t>
            </w:r>
          </w:p>
        </w:tc>
        <w:tc>
          <w:tcPr>
            <w:tcW w:type="dxa" w:w="4703"/>
          </w:tcPr>
          <w:p>
            <w:r>
              <w:rPr>
                <w:sz w:val="20"/>
              </w:rPr>
              <w:t>Post-order scope change</w:t>
            </w:r>
          </w:p>
        </w:tc>
      </w:tr>
      <w:tr>
        <w:tc>
          <w:tcPr>
            <w:tcW w:type="dxa" w:w="4703"/>
            <w:shd w:val="clear" w:color="auto" w:fill="DCE6F1"/>
          </w:tcPr>
          <w:p>
            <w:r>
              <w:rPr>
                <w:sz w:val="20"/>
              </w:rPr>
              <w:t>Transport damage</w:t>
            </w:r>
          </w:p>
        </w:tc>
        <w:tc>
          <w:tcPr>
            <w:tcW w:type="dxa" w:w="4703"/>
            <w:shd w:val="clear" w:color="auto" w:fill="DCE6F1"/>
          </w:tcPr>
          <w:p>
            <w:r>
              <w:rPr>
                <w:sz w:val="20"/>
              </w:rPr>
              <w:t>Damaged after leaving facility</w:t>
            </w:r>
          </w:p>
        </w:tc>
      </w:tr>
    </w:tbl>
    <w:p/>
    <w:p>
      <w:pPr>
        <w:pStyle w:val="Heading2"/>
      </w:pPr>
      <w:r>
        <w:rPr>
          <w:color w:val="2E74B5"/>
          <w:sz w:val="26"/>
        </w:rPr>
        <w:t>5.5 Add Job Type Field</w:t>
      </w:r>
    </w:p>
    <w:p>
      <w:pPr>
        <w:pStyle w:val="ListBullet"/>
      </w:pPr>
      <w:r>
        <w:t>Aviation Refueller</w:t>
      </w:r>
    </w:p>
    <w:p>
      <w:pPr>
        <w:pStyle w:val="ListBullet"/>
      </w:pPr>
      <w:r>
        <w:t>Aviation Dispenser / Hydrant Dispenser</w:t>
      </w:r>
    </w:p>
    <w:p>
      <w:pPr>
        <w:pStyle w:val="ListBullet"/>
      </w:pPr>
      <w:r>
        <w:t>Fuel Tanker</w:t>
      </w:r>
    </w:p>
    <w:p>
      <w:pPr>
        <w:pStyle w:val="ListBullet"/>
      </w:pPr>
      <w:r>
        <w:t>Bulk Liquid Transport</w:t>
      </w:r>
    </w:p>
    <w:p>
      <w:pPr>
        <w:pStyle w:val="ListBullet"/>
      </w:pPr>
      <w:r>
        <w:t>Pump Skid</w:t>
      </w:r>
    </w:p>
    <w:p>
      <w:pPr>
        <w:pStyle w:val="ListBullet"/>
      </w:pPr>
      <w:r>
        <w:t>Other</w:t>
      </w:r>
    </w:p>
    <w:p>
      <w:pPr>
        <w:pStyle w:val="Heading1"/>
      </w:pPr>
      <w:r>
        <w:rPr>
          <w:color w:val="1F3664"/>
          <w:sz w:val="32"/>
        </w:rPr>
        <w:t>Section 6 — Reporting Cadence</w:t>
      </w:r>
    </w:p>
    <w:p>
      <w:pPr>
        <w:pStyle w:val="Heading2"/>
      </w:pPr>
      <w:r>
        <w:rPr>
          <w:color w:val="2E74B5"/>
          <w:sz w:val="26"/>
        </w:rPr>
        <w:t>Weekly (Quality Lead)</w:t>
      </w:r>
    </w:p>
    <w:p>
      <w:pPr>
        <w:pStyle w:val="ListBullet"/>
      </w:pPr>
      <w:r>
        <w:t>Open repair actions by cell — count and age</w:t>
      </w:r>
    </w:p>
    <w:p>
      <w:pPr>
        <w:pStyle w:val="ListBullet"/>
      </w:pPr>
      <w:r>
        <w:t>New actions raised this week by cell</w:t>
      </w:r>
    </w:p>
    <w:p>
      <w:pPr>
        <w:pStyle w:val="ListBullet"/>
      </w:pPr>
      <w:r>
        <w:t>Actions closed this week</w:t>
      </w:r>
    </w:p>
    <w:p>
      <w:pPr>
        <w:pStyle w:val="ListBullet"/>
      </w:pPr>
      <w:r>
        <w:t>Any action open more than 30 days: flagged for escalation</w:t>
      </w:r>
    </w:p>
    <w:p>
      <w:pPr>
        <w:pStyle w:val="Heading2"/>
      </w:pPr>
      <w:r>
        <w:rPr>
          <w:color w:val="2E74B5"/>
          <w:sz w:val="26"/>
        </w:rPr>
        <w:t>Monthly (Management Review)</w:t>
      </w:r>
    </w:p>
    <w:p>
      <w:pPr>
        <w:pStyle w:val="ListBullet"/>
      </w:pPr>
      <w:r>
        <w:t>Total repair actions vs prior month vs same month last year</w:t>
      </w:r>
    </w:p>
    <w:p>
      <w:pPr>
        <w:pStyle w:val="ListBullet"/>
      </w:pPr>
      <w:r>
        <w:t>Defect category breakdown — top 10 and trend</w:t>
      </w:r>
    </w:p>
    <w:p>
      <w:pPr>
        <w:pStyle w:val="ListBullet"/>
      </w:pPr>
      <w:r>
        <w:t>Cell-level breakdown — who generated, who closed</w:t>
      </w:r>
    </w:p>
    <w:p>
      <w:pPr>
        <w:pStyle w:val="ListBullet"/>
      </w:pPr>
      <w:r>
        <w:t>Customer-initiated defects — count and description</w:t>
      </w:r>
    </w:p>
    <w:p>
      <w:pPr>
        <w:pStyle w:val="ListBullet"/>
      </w:pPr>
      <w:r>
        <w:t>Root cause closure rate (target: 100%)</w:t>
      </w:r>
    </w:p>
    <w:p>
      <w:pPr>
        <w:pStyle w:val="ListBullet"/>
      </w:pPr>
      <w:r>
        <w:t>Repair time hours by cell (cost of poor quality)</w:t>
      </w:r>
    </w:p>
    <w:p>
      <w:pPr>
        <w:pStyle w:val="ListBullet"/>
      </w:pPr>
      <w:r>
        <w:t>Top 5 recurring issues with corrective action status</w:t>
      </w:r>
    </w:p>
    <w:p>
      <w:pPr>
        <w:pStyle w:val="ListBullet"/>
      </w:pPr>
      <w:r>
        <w:t>Jobs with highest repair action count — retrospective on outliers</w:t>
      </w:r>
    </w:p>
    <w:p>
      <w:pPr>
        <w:pStyle w:val="Heading2"/>
      </w:pPr>
      <w:r>
        <w:rPr>
          <w:color w:val="2E74B5"/>
          <w:sz w:val="26"/>
        </w:rPr>
        <w:t>Quarterly (Leadership)</w:t>
      </w:r>
    </w:p>
    <w:p>
      <w:pPr>
        <w:pStyle w:val="ListBullet"/>
      </w:pPr>
      <w:r>
        <w:t>Trend analysis — is the quality improvement programme working?</w:t>
      </w:r>
    </w:p>
    <w:p>
      <w:pPr>
        <w:pStyle w:val="ListBullet"/>
      </w:pPr>
      <w:r>
        <w:t>Recurring issues resolved vs still open</w:t>
      </w:r>
    </w:p>
    <w:p>
      <w:pPr>
        <w:pStyle w:val="ListBullet"/>
      </w:pPr>
      <w:r>
        <w:t>BOM and checklist improvements completed</w:t>
      </w:r>
    </w:p>
    <w:p>
      <w:pPr>
        <w:pStyle w:val="ListBullet"/>
      </w:pPr>
      <w:r>
        <w:t>Customer defect trend</w:t>
      </w:r>
    </w:p>
    <w:p>
      <w:pPr>
        <w:pStyle w:val="ListBullet"/>
      </w:pPr>
      <w:r>
        <w:t>KPI scorecard update</w:t>
      </w:r>
    </w:p>
    <w:p>
      <w:pPr>
        <w:pStyle w:val="Heading1"/>
      </w:pPr>
      <w:r>
        <w:rPr>
          <w:color w:val="1F3664"/>
          <w:sz w:val="32"/>
        </w:rPr>
        <w:t>Section 7 — Immediate Actions (Next 30 Days)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664"/>
          </w:tcPr>
          <w:p>
            <w:r>
              <w:rPr>
                <w:b/>
                <w:color w:val="FFFFFF"/>
                <w:sz w:val="20"/>
              </w:rPr>
              <w:t>Action</w:t>
            </w:r>
          </w:p>
        </w:tc>
        <w:tc>
          <w:tcPr>
            <w:tcW w:type="dxa" w:w="2351"/>
            <w:shd w:val="clear" w:color="auto" w:fill="1F3664"/>
          </w:tcPr>
          <w:p>
            <w:r>
              <w:rPr>
                <w:b/>
                <w:color w:val="FFFFFF"/>
                <w:sz w:val="20"/>
              </w:rPr>
              <w:t>Owner</w:t>
            </w:r>
          </w:p>
        </w:tc>
        <w:tc>
          <w:tcPr>
            <w:tcW w:type="dxa" w:w="2351"/>
            <w:shd w:val="clear" w:color="auto" w:fill="1F3664"/>
          </w:tcPr>
          <w:p>
            <w:r>
              <w:rPr>
                <w:b/>
                <w:color w:val="FFFFFF"/>
                <w:sz w:val="20"/>
              </w:rPr>
              <w:t>Due</w:t>
            </w:r>
          </w:p>
        </w:tc>
        <w:tc>
          <w:tcPr>
            <w:tcW w:type="dxa" w:w="2351"/>
            <w:shd w:val="clear" w:color="auto" w:fill="1F3664"/>
          </w:tcPr>
          <w:p>
            <w:r>
              <w:rPr>
                <w:b/>
                <w:color w:val="FFFFFF"/>
                <w:sz w:val="20"/>
              </w:rPr>
              <w:t>Priority</w:t>
            </w:r>
          </w:p>
        </w:tc>
      </w:tr>
      <w:tr>
        <w:tc>
          <w:tcPr>
            <w:tcW w:type="dxa" w:w="2351"/>
          </w:tcPr>
          <w:p>
            <w:r>
              <w:rPr>
                <w:sz w:val="20"/>
              </w:rPr>
              <w:t>Add recurring items to standard BOMs (spare wheel, ladder, nutserts etc.)</w:t>
            </w:r>
          </w:p>
        </w:tc>
        <w:tc>
          <w:tcPr>
            <w:tcW w:type="dxa" w:w="2351"/>
          </w:tcPr>
          <w:p>
            <w:r>
              <w:rPr>
                <w:sz w:val="20"/>
              </w:rPr>
              <w:t>Engineering</w:t>
            </w:r>
          </w:p>
        </w:tc>
        <w:tc>
          <w:tcPr>
            <w:tcW w:type="dxa" w:w="2351"/>
          </w:tcPr>
          <w:p>
            <w:r>
              <w:rPr>
                <w:sz w:val="20"/>
              </w:rPr>
              <w:t>Week 1</w:t>
            </w:r>
          </w:p>
        </w:tc>
        <w:tc>
          <w:tcPr>
            <w:tcW w:type="dxa" w:w="2351"/>
          </w:tcPr>
          <w:p>
            <w:r>
              <w:rPr>
                <w:sz w:val="20"/>
              </w:rPr>
              <w:t>Critical</w:t>
            </w:r>
          </w:p>
        </w:tc>
      </w:tr>
      <w:tr>
        <w:tc>
          <w:tcPr>
            <w:tcW w:type="dxa" w:w="2351"/>
            <w:shd w:val="clear" w:color="auto" w:fill="DCE6F1"/>
          </w:tcPr>
          <w:p>
            <w:r>
              <w:rPr>
                <w:sz w:val="20"/>
              </w:rPr>
              <w:t>Make Initiator field mandatory at creation</w:t>
            </w:r>
          </w:p>
        </w:tc>
        <w:tc>
          <w:tcPr>
            <w:tcW w:type="dxa" w:w="2351"/>
            <w:shd w:val="clear" w:color="auto" w:fill="DCE6F1"/>
          </w:tcPr>
          <w:p>
            <w:r>
              <w:rPr>
                <w:sz w:val="20"/>
              </w:rPr>
              <w:t>Quality / IT</w:t>
            </w:r>
          </w:p>
        </w:tc>
        <w:tc>
          <w:tcPr>
            <w:tcW w:type="dxa" w:w="2351"/>
            <w:shd w:val="clear" w:color="auto" w:fill="DCE6F1"/>
          </w:tcPr>
          <w:p>
            <w:r>
              <w:rPr>
                <w:sz w:val="20"/>
              </w:rPr>
              <w:t>Week 1</w:t>
            </w:r>
          </w:p>
        </w:tc>
        <w:tc>
          <w:tcPr>
            <w:tcW w:type="dxa" w:w="2351"/>
            <w:shd w:val="clear" w:color="auto" w:fill="DCE6F1"/>
          </w:tcPr>
          <w:p>
            <w:r>
              <w:rPr>
                <w:sz w:val="20"/>
              </w:rPr>
              <w:t>Critical</w:t>
            </w:r>
          </w:p>
        </w:tc>
      </w:tr>
      <w:tr>
        <w:tc>
          <w:tcPr>
            <w:tcW w:type="dxa" w:w="2351"/>
          </w:tcPr>
          <w:p>
            <w:r>
              <w:rPr>
                <w:sz w:val="20"/>
              </w:rPr>
              <w:t>Make Root Cause Owner mandatory before closure</w:t>
            </w:r>
          </w:p>
        </w:tc>
        <w:tc>
          <w:tcPr>
            <w:tcW w:type="dxa" w:w="2351"/>
          </w:tcPr>
          <w:p>
            <w:r>
              <w:rPr>
                <w:sz w:val="20"/>
              </w:rPr>
              <w:t>Quality / IT</w:t>
            </w:r>
          </w:p>
        </w:tc>
        <w:tc>
          <w:tcPr>
            <w:tcW w:type="dxa" w:w="2351"/>
          </w:tcPr>
          <w:p>
            <w:r>
              <w:rPr>
                <w:sz w:val="20"/>
              </w:rPr>
              <w:t>Week 1</w:t>
            </w:r>
          </w:p>
        </w:tc>
        <w:tc>
          <w:tcPr>
            <w:tcW w:type="dxa" w:w="2351"/>
          </w:tcPr>
          <w:p>
            <w:r>
              <w:rPr>
                <w:sz w:val="20"/>
              </w:rPr>
              <w:t>Critical</w:t>
            </w:r>
          </w:p>
        </w:tc>
      </w:tr>
      <w:tr>
        <w:tc>
          <w:tcPr>
            <w:tcW w:type="dxa" w:w="2351"/>
            <w:shd w:val="clear" w:color="auto" w:fill="DCE6F1"/>
          </w:tcPr>
          <w:p>
            <w:r>
              <w:rPr>
                <w:sz w:val="20"/>
              </w:rPr>
              <w:t>Add Repair Time field — mandatory at closure</w:t>
            </w:r>
          </w:p>
        </w:tc>
        <w:tc>
          <w:tcPr>
            <w:tcW w:type="dxa" w:w="2351"/>
            <w:shd w:val="clear" w:color="auto" w:fill="DCE6F1"/>
          </w:tcPr>
          <w:p>
            <w:r>
              <w:rPr>
                <w:sz w:val="20"/>
              </w:rPr>
              <w:t>Quality / IT</w:t>
            </w:r>
          </w:p>
        </w:tc>
        <w:tc>
          <w:tcPr>
            <w:tcW w:type="dxa" w:w="2351"/>
            <w:shd w:val="clear" w:color="auto" w:fill="DCE6F1"/>
          </w:tcPr>
          <w:p>
            <w:r>
              <w:rPr>
                <w:sz w:val="20"/>
              </w:rPr>
              <w:t>Week 2</w:t>
            </w:r>
          </w:p>
        </w:tc>
        <w:tc>
          <w:tcPr>
            <w:tcW w:type="dxa" w:w="2351"/>
            <w:shd w:val="clear" w:color="auto" w:fill="DCE6F1"/>
          </w:tcPr>
          <w:p>
            <w:r>
              <w:rPr>
                <w:sz w:val="20"/>
              </w:rPr>
              <w:t>High</w:t>
            </w:r>
          </w:p>
        </w:tc>
      </w:tr>
      <w:tr>
        <w:tc>
          <w:tcPr>
            <w:tcW w:type="dxa" w:w="2351"/>
          </w:tcPr>
          <w:p>
            <w:r>
              <w:rPr>
                <w:sz w:val="20"/>
              </w:rPr>
              <w:t>Retire "General" label — implement cell-specific labels</w:t>
            </w:r>
          </w:p>
        </w:tc>
        <w:tc>
          <w:tcPr>
            <w:tcW w:type="dxa" w:w="2351"/>
          </w:tcPr>
          <w:p>
            <w:r>
              <w:rPr>
                <w:sz w:val="20"/>
              </w:rPr>
              <w:t>Quality / IT</w:t>
            </w:r>
          </w:p>
        </w:tc>
        <w:tc>
          <w:tcPr>
            <w:tcW w:type="dxa" w:w="2351"/>
          </w:tcPr>
          <w:p>
            <w:r>
              <w:rPr>
                <w:sz w:val="20"/>
              </w:rPr>
              <w:t>Week 2</w:t>
            </w:r>
          </w:p>
        </w:tc>
        <w:tc>
          <w:tcPr>
            <w:tcW w:type="dxa" w:w="2351"/>
          </w:tcPr>
          <w:p>
            <w:r>
              <w:rPr>
                <w:sz w:val="20"/>
              </w:rPr>
              <w:t>High</w:t>
            </w:r>
          </w:p>
        </w:tc>
      </w:tr>
      <w:tr>
        <w:tc>
          <w:tcPr>
            <w:tcW w:type="dxa" w:w="2351"/>
            <w:shd w:val="clear" w:color="auto" w:fill="DCE6F1"/>
          </w:tcPr>
          <w:p>
            <w:r>
              <w:rPr>
                <w:sz w:val="20"/>
              </w:rPr>
              <w:t>Add Concern Category dropdown (retire free text)</w:t>
            </w:r>
          </w:p>
        </w:tc>
        <w:tc>
          <w:tcPr>
            <w:tcW w:type="dxa" w:w="2351"/>
            <w:shd w:val="clear" w:color="auto" w:fill="DCE6F1"/>
          </w:tcPr>
          <w:p>
            <w:r>
              <w:rPr>
                <w:sz w:val="20"/>
              </w:rPr>
              <w:t>Quality / IT</w:t>
            </w:r>
          </w:p>
        </w:tc>
        <w:tc>
          <w:tcPr>
            <w:tcW w:type="dxa" w:w="2351"/>
            <w:shd w:val="clear" w:color="auto" w:fill="DCE6F1"/>
          </w:tcPr>
          <w:p>
            <w:r>
              <w:rPr>
                <w:sz w:val="20"/>
              </w:rPr>
              <w:t>Week 3</w:t>
            </w:r>
          </w:p>
        </w:tc>
        <w:tc>
          <w:tcPr>
            <w:tcW w:type="dxa" w:w="2351"/>
            <w:shd w:val="clear" w:color="auto" w:fill="DCE6F1"/>
          </w:tcPr>
          <w:p>
            <w:r>
              <w:rPr>
                <w:sz w:val="20"/>
              </w:rPr>
              <w:t>High</w:t>
            </w:r>
          </w:p>
        </w:tc>
      </w:tr>
      <w:tr>
        <w:tc>
          <w:tcPr>
            <w:tcW w:type="dxa" w:w="2351"/>
          </w:tcPr>
          <w:p>
            <w:r>
              <w:rPr>
                <w:sz w:val="20"/>
              </w:rPr>
              <w:t>Add Root Cause Category dropdown</w:t>
            </w:r>
          </w:p>
        </w:tc>
        <w:tc>
          <w:tcPr>
            <w:tcW w:type="dxa" w:w="2351"/>
          </w:tcPr>
          <w:p>
            <w:r>
              <w:rPr>
                <w:sz w:val="20"/>
              </w:rPr>
              <w:t>Quality / IT</w:t>
            </w:r>
          </w:p>
        </w:tc>
        <w:tc>
          <w:tcPr>
            <w:tcW w:type="dxa" w:w="2351"/>
          </w:tcPr>
          <w:p>
            <w:r>
              <w:rPr>
                <w:sz w:val="20"/>
              </w:rPr>
              <w:t>Week 3</w:t>
            </w:r>
          </w:p>
        </w:tc>
        <w:tc>
          <w:tcPr>
            <w:tcW w:type="dxa" w:w="2351"/>
          </w:tcPr>
          <w:p>
            <w:r>
              <w:rPr>
                <w:sz w:val="20"/>
              </w:rPr>
              <w:t>High</w:t>
            </w:r>
          </w:p>
        </w:tc>
      </w:tr>
      <w:tr>
        <w:tc>
          <w:tcPr>
            <w:tcW w:type="dxa" w:w="2351"/>
            <w:shd w:val="clear" w:color="auto" w:fill="DCE6F1"/>
          </w:tcPr>
          <w:p>
            <w:r>
              <w:rPr>
                <w:sz w:val="20"/>
              </w:rPr>
              <w:t>Audit 108 items open more than 180 days</w:t>
            </w:r>
          </w:p>
        </w:tc>
        <w:tc>
          <w:tcPr>
            <w:tcW w:type="dxa" w:w="2351"/>
            <w:shd w:val="clear" w:color="auto" w:fill="DCE6F1"/>
          </w:tcPr>
          <w:p>
            <w:r>
              <w:rPr>
                <w:sz w:val="20"/>
              </w:rPr>
              <w:t>Quality Lead</w:t>
            </w:r>
          </w:p>
        </w:tc>
        <w:tc>
          <w:tcPr>
            <w:tcW w:type="dxa" w:w="2351"/>
            <w:shd w:val="clear" w:color="auto" w:fill="DCE6F1"/>
          </w:tcPr>
          <w:p>
            <w:r>
              <w:rPr>
                <w:sz w:val="20"/>
              </w:rPr>
              <w:t>Week 4</w:t>
            </w:r>
          </w:p>
        </w:tc>
        <w:tc>
          <w:tcPr>
            <w:tcW w:type="dxa" w:w="2351"/>
            <w:shd w:val="clear" w:color="auto" w:fill="DCE6F1"/>
          </w:tcPr>
          <w:p>
            <w:r>
              <w:rPr>
                <w:sz w:val="20"/>
              </w:rPr>
              <w:t>High</w:t>
            </w:r>
          </w:p>
        </w:tc>
      </w:tr>
      <w:tr>
        <w:tc>
          <w:tcPr>
            <w:tcW w:type="dxa" w:w="2351"/>
          </w:tcPr>
          <w:p>
            <w:r>
              <w:rPr>
                <w:sz w:val="20"/>
              </w:rPr>
              <w:t>Review 539 Won't Do / Hold / Duplicate items</w:t>
            </w:r>
          </w:p>
        </w:tc>
        <w:tc>
          <w:tcPr>
            <w:tcW w:type="dxa" w:w="2351"/>
          </w:tcPr>
          <w:p>
            <w:r>
              <w:rPr>
                <w:sz w:val="20"/>
              </w:rPr>
              <w:t>Quality Lead</w:t>
            </w:r>
          </w:p>
        </w:tc>
        <w:tc>
          <w:tcPr>
            <w:tcW w:type="dxa" w:w="2351"/>
          </w:tcPr>
          <w:p>
            <w:r>
              <w:rPr>
                <w:sz w:val="20"/>
              </w:rPr>
              <w:t>Week 4</w:t>
            </w:r>
          </w:p>
        </w:tc>
        <w:tc>
          <w:tcPr>
            <w:tcW w:type="dxa" w:w="2351"/>
          </w:tcPr>
          <w:p>
            <w:r>
              <w:rPr>
                <w:sz w:val="20"/>
              </w:rPr>
              <w:t>Medium</w:t>
            </w:r>
          </w:p>
        </w:tc>
      </w:tr>
      <w:tr>
        <w:tc>
          <w:tcPr>
            <w:tcW w:type="dxa" w:w="2351"/>
            <w:shd w:val="clear" w:color="auto" w:fill="DCE6F1"/>
          </w:tcPr>
          <w:p>
            <w:r>
              <w:rPr>
                <w:sz w:val="20"/>
              </w:rPr>
              <w:t>Run retrospective on top 5 jobs by repair action count</w:t>
            </w:r>
          </w:p>
        </w:tc>
        <w:tc>
          <w:tcPr>
            <w:tcW w:type="dxa" w:w="2351"/>
            <w:shd w:val="clear" w:color="auto" w:fill="DCE6F1"/>
          </w:tcPr>
          <w:p>
            <w:r>
              <w:rPr>
                <w:sz w:val="20"/>
              </w:rPr>
              <w:t>Quality + Production</w:t>
            </w:r>
          </w:p>
        </w:tc>
        <w:tc>
          <w:tcPr>
            <w:tcW w:type="dxa" w:w="2351"/>
            <w:shd w:val="clear" w:color="auto" w:fill="DCE6F1"/>
          </w:tcPr>
          <w:p>
            <w:r>
              <w:rPr>
                <w:sz w:val="20"/>
              </w:rPr>
              <w:t>Week 4</w:t>
            </w:r>
          </w:p>
        </w:tc>
        <w:tc>
          <w:tcPr>
            <w:tcW w:type="dxa" w:w="2351"/>
            <w:shd w:val="clear" w:color="auto" w:fill="DCE6F1"/>
          </w:tcPr>
          <w:p>
            <w:r>
              <w:rPr>
                <w:sz w:val="20"/>
              </w:rPr>
              <w:t>Medium</w:t>
            </w:r>
          </w:p>
        </w:tc>
      </w:tr>
      <w:tr>
        <w:tc>
          <w:tcPr>
            <w:tcW w:type="dxa" w:w="2351"/>
          </w:tcPr>
          <w:p>
            <w:r>
              <w:rPr>
                <w:sz w:val="20"/>
              </w:rPr>
              <w:t>Assign internal data analysis owner</w:t>
            </w:r>
          </w:p>
        </w:tc>
        <w:tc>
          <w:tcPr>
            <w:tcW w:type="dxa" w:w="2351"/>
          </w:tcPr>
          <w:p>
            <w:r>
              <w:rPr>
                <w:sz w:val="20"/>
              </w:rPr>
              <w:t>Management</w:t>
            </w:r>
          </w:p>
        </w:tc>
        <w:tc>
          <w:tcPr>
            <w:tcW w:type="dxa" w:w="2351"/>
          </w:tcPr>
          <w:p>
            <w:r>
              <w:rPr>
                <w:sz w:val="20"/>
              </w:rPr>
              <w:t>Week 2</w:t>
            </w:r>
          </w:p>
        </w:tc>
        <w:tc>
          <w:tcPr>
            <w:tcW w:type="dxa" w:w="2351"/>
          </w:tcPr>
          <w:p>
            <w:r>
              <w:rPr>
                <w:sz w:val="20"/>
              </w:rPr>
              <w:t>High</w:t>
            </w:r>
          </w:p>
        </w:tc>
      </w:tr>
      <w:tr>
        <w:tc>
          <w:tcPr>
            <w:tcW w:type="dxa" w:w="2351"/>
            <w:shd w:val="clear" w:color="auto" w:fill="DCE6F1"/>
          </w:tcPr>
          <w:p>
            <w:r>
              <w:rPr>
                <w:sz w:val="20"/>
              </w:rPr>
              <w:t>Set monthly volume target (baseline: 195, June 2026)</w:t>
            </w:r>
          </w:p>
        </w:tc>
        <w:tc>
          <w:tcPr>
            <w:tcW w:type="dxa" w:w="2351"/>
            <w:shd w:val="clear" w:color="auto" w:fill="DCE6F1"/>
          </w:tcPr>
          <w:p>
            <w:r>
              <w:rPr>
                <w:sz w:val="20"/>
              </w:rPr>
              <w:t>Quality + Management</w:t>
            </w:r>
          </w:p>
        </w:tc>
        <w:tc>
          <w:tcPr>
            <w:tcW w:type="dxa" w:w="2351"/>
            <w:shd w:val="clear" w:color="auto" w:fill="DCE6F1"/>
          </w:tcPr>
          <w:p>
            <w:r>
              <w:rPr>
                <w:sz w:val="20"/>
              </w:rPr>
              <w:t>Week 2</w:t>
            </w:r>
          </w:p>
        </w:tc>
        <w:tc>
          <w:tcPr>
            <w:tcW w:type="dxa" w:w="2351"/>
            <w:shd w:val="clear" w:color="auto" w:fill="DCE6F1"/>
          </w:tcPr>
          <w:p>
            <w:r>
              <w:rPr>
                <w:sz w:val="20"/>
              </w:rPr>
              <w:t>High</w:t>
            </w:r>
          </w:p>
        </w:tc>
      </w:tr>
    </w:tbl>
    <w:p/>
    <w:p>
      <w:pPr>
        <w:pStyle w:val="Heading1"/>
      </w:pPr>
      <w:r>
        <w:rPr>
          <w:color w:val="1F3664"/>
          <w:sz w:val="32"/>
        </w:rPr>
        <w:t>Section 8 — Data Ownership</w:t>
      </w:r>
    </w:p>
    <w:p>
      <w:r>
        <w:rPr>
          <w:b/>
        </w:rPr>
        <w:t xml:space="preserve">Minimum viable (start now): </w:t>
      </w:r>
      <w:r>
        <w:t>An internal person with Excel/Power BI capability at 20–30% of their time. Monthly report, trend flags, corrective action register.</w:t>
      </w:r>
    </w:p>
    <w:p>
      <w:r>
        <w:rPr>
          <w:b/>
        </w:rPr>
        <w:t xml:space="preserve">Longer term: </w:t>
      </w:r>
      <w:r>
        <w:t>A dedicated Quality/Continuous Improvement role. At current repair action volume and growth trajectory, this role pays for itself in rework hours saved.</w:t>
      </w:r>
    </w:p>
    <w:p>
      <w:r>
        <w:rPr>
          <w:b/>
        </w:rPr>
        <w:t xml:space="preserve">Critical requirement: </w:t>
      </w:r>
      <w:r>
        <w:t>The data owner needs authority to require corrective action, not just report on it. Reporting without authority produces dashboards, not improvement.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