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664"/>
          <w:sz w:val="48"/>
        </w:rPr>
        <w:t>Strategic Roadmap 2026–2029</w:t>
      </w:r>
    </w:p>
    <w:p>
      <w:pPr>
        <w:jc w:val="center"/>
      </w:pPr>
      <w:r>
        <w:rPr>
          <w:i/>
          <w:color w:val="2E74B5"/>
          <w:sz w:val="26"/>
        </w:rPr>
        <w:t>Building the Engine Room — From Growth to Excellence</w:t>
      </w:r>
    </w:p>
    <w:p>
      <w:pPr>
        <w:jc w:val="center"/>
      </w:pPr>
      <w:r>
        <w:rPr>
          <w:sz w:val="20"/>
        </w:rPr>
        <w:t>Prepared for CEO Review  |  June 2026  |  DRAFT v2.0</w:t>
      </w:r>
    </w:p>
    <w:p/>
    <w:p>
      <w:pPr>
        <w:pStyle w:val="Heading1"/>
      </w:pPr>
      <w:r>
        <w:rPr>
          <w:color w:val="1F3664"/>
          <w:sz w:val="32"/>
        </w:rPr>
        <w:t>Where We've Come From</w:t>
      </w:r>
    </w:p>
    <w:p>
      <w:r>
        <w:t>Ten years ago this business was a fraction of its current size. Today we stand at approximately 160 people and $70–100M AUD in revenue, having doubled in the last 2.5 years in jobs, sales orders, and revenue. We build fuel tankers, bulk liquid transport vehicles and aviation refuellers to a standard the market trusts and increasingly demands.</w:t>
      </w:r>
    </w:p>
    <w:p>
      <w:r>
        <w:t>That growth didn't happen by accident. It happened because we built a culture that gives a damn. That is our most valuable and hardest-to-replicate asset.</w:t>
      </w:r>
    </w:p>
    <w:p>
      <w:r>
        <w:t>The next chapter is not about winning more work. We're already doing that. It's about building an engine room capable of delivering on what we're winning — consistently, at scale, without burning our people out.</w:t>
      </w:r>
    </w:p>
    <w:p>
      <w:pPr>
        <w:pStyle w:val="Heading1"/>
      </w:pPr>
      <w:r>
        <w:rPr>
          <w:color w:val="1F3664"/>
          <w:sz w:val="32"/>
        </w:rPr>
        <w:t>Our Strategic Framework</w:t>
      </w:r>
    </w:p>
    <w:p>
      <w:r>
        <w:t>We operate against three Strategic Objectives:</w:t>
      </w:r>
    </w:p>
    <w:tbl>
      <w:tblPr>
        <w:tblStyle w:val="TableGrid"/>
        <w:tblW w:type="auto" w:w="0"/>
        <w:tblLook w:firstColumn="1" w:firstRow="1" w:lastColumn="0" w:lastRow="0" w:noHBand="0" w:noVBand="1" w:val="04A0"/>
      </w:tblPr>
      <w:tblGrid>
        <w:gridCol w:w="4703"/>
        <w:gridCol w:w="4703"/>
      </w:tblGrid>
      <w:tr>
        <w:tc>
          <w:tcPr>
            <w:tcW w:type="dxa" w:w="4703"/>
            <w:shd w:val="clear" w:color="auto" w:fill="1F3664"/>
          </w:tcPr>
          <w:p>
            <w:r>
              <w:rPr>
                <w:b/>
                <w:color w:val="FFFFFF"/>
                <w:sz w:val="20"/>
              </w:rPr>
              <w:t>Objective</w:t>
            </w:r>
          </w:p>
        </w:tc>
        <w:tc>
          <w:tcPr>
            <w:tcW w:type="dxa" w:w="4703"/>
            <w:shd w:val="clear" w:color="auto" w:fill="1F3664"/>
          </w:tcPr>
          <w:p>
            <w:r>
              <w:rPr>
                <w:b/>
                <w:color w:val="FFFFFF"/>
                <w:sz w:val="20"/>
              </w:rPr>
              <w:t>What it means</w:t>
            </w:r>
          </w:p>
        </w:tc>
      </w:tr>
      <w:tr>
        <w:tc>
          <w:tcPr>
            <w:tcW w:type="dxa" w:w="4703"/>
          </w:tcPr>
          <w:p>
            <w:r>
              <w:rPr>
                <w:sz w:val="20"/>
              </w:rPr>
              <w:t>1. Hunting on the Front Foot</w:t>
            </w:r>
          </w:p>
        </w:tc>
        <w:tc>
          <w:tcPr>
            <w:tcW w:type="dxa" w:w="4703"/>
          </w:tcPr>
          <w:p>
            <w:r>
              <w:rPr>
                <w:sz w:val="20"/>
              </w:rPr>
              <w:t>Proactive, targeted business development — owning the pipeline</w:t>
            </w:r>
          </w:p>
        </w:tc>
      </w:tr>
      <w:tr>
        <w:tc>
          <w:tcPr>
            <w:tcW w:type="dxa" w:w="4703"/>
            <w:shd w:val="clear" w:color="auto" w:fill="DCE6F1"/>
          </w:tcPr>
          <w:p>
            <w:r>
              <w:rPr>
                <w:sz w:val="20"/>
              </w:rPr>
              <w:t>2. First Pass Business</w:t>
            </w:r>
          </w:p>
        </w:tc>
        <w:tc>
          <w:tcPr>
            <w:tcW w:type="dxa" w:w="4703"/>
            <w:shd w:val="clear" w:color="auto" w:fill="DCE6F1"/>
          </w:tcPr>
          <w:p>
            <w:r>
              <w:rPr>
                <w:sz w:val="20"/>
              </w:rPr>
              <w:t>Touch it once. Robust engineering, zero rework, no surprises at delivery</w:t>
            </w:r>
          </w:p>
        </w:tc>
      </w:tr>
      <w:tr>
        <w:tc>
          <w:tcPr>
            <w:tcW w:type="dxa" w:w="4703"/>
          </w:tcPr>
          <w:p>
            <w:r>
              <w:rPr>
                <w:sz w:val="20"/>
              </w:rPr>
              <w:t>3. Increase Throughput</w:t>
            </w:r>
          </w:p>
        </w:tc>
        <w:tc>
          <w:tcPr>
            <w:tcW w:type="dxa" w:w="4703"/>
          </w:tcPr>
          <w:p>
            <w:r>
              <w:rPr>
                <w:sz w:val="20"/>
              </w:rPr>
              <w:t>More output per person, per dollar, per week — without adding proportional headcount</w:t>
            </w:r>
          </w:p>
        </w:tc>
      </w:tr>
    </w:tbl>
    <w:p/>
    <w:p>
      <w:r>
        <w:t xml:space="preserve">These three are not independent. The real leverage point is </w:t>
      </w:r>
      <w:r>
        <w:rPr>
          <w:b/>
        </w:rPr>
        <w:t>Objective 2 — First Pass Business.</w:t>
      </w:r>
      <w:r>
        <w:t xml:space="preserve"> Fix that, and 1 and 3 both improve.</w:t>
      </w:r>
    </w:p>
    <w:p>
      <w:pPr>
        <w:pStyle w:val="Heading1"/>
      </w:pPr>
      <w:r>
        <w:rPr>
          <w:color w:val="1F3664"/>
          <w:sz w:val="32"/>
        </w:rPr>
        <w:t>Honest Assessment — Where We Stand Today</w:t>
      </w:r>
    </w:p>
    <w:p>
      <w:pPr>
        <w:pStyle w:val="Heading2"/>
      </w:pPr>
      <w:r>
        <w:rPr>
          <w:color w:val="2E74B5"/>
          <w:sz w:val="26"/>
        </w:rPr>
        <w:t>What's Working</w:t>
      </w:r>
    </w:p>
    <w:p>
      <w:pPr>
        <w:pStyle w:val="ListBullet"/>
      </w:pPr>
      <w:r>
        <w:t>Culture — our greatest competitive advantage. People care, standards are held, and the team has navigated extraordinary growth with integrity.</w:t>
      </w:r>
    </w:p>
    <w:p>
      <w:pPr>
        <w:pStyle w:val="ListBullet"/>
      </w:pPr>
      <w:r>
        <w:t>Business development — winning new work proactively. The pipeline is real and growing.</w:t>
      </w:r>
    </w:p>
    <w:p>
      <w:pPr>
        <w:pStyle w:val="ListBullet"/>
      </w:pPr>
      <w:r>
        <w:t>Sales to Engineering handover — functional. Needs to go from good to excellent.</w:t>
      </w:r>
    </w:p>
    <w:p>
      <w:pPr>
        <w:pStyle w:val="ListBullet"/>
      </w:pPr>
      <w:r>
        <w:t>Inspection system — catching 85% of issues before shipment. The framework exists; it needs strengthening.</w:t>
      </w:r>
    </w:p>
    <w:p>
      <w:pPr>
        <w:pStyle w:val="Heading2"/>
      </w:pPr>
      <w:r>
        <w:rPr>
          <w:color w:val="2E74B5"/>
          <w:sz w:val="26"/>
        </w:rPr>
        <w:t>The Cascade Failure</w:t>
      </w:r>
    </w:p>
    <w:p>
      <w:r>
        <w:t>There is a cascade failure running through our value stream:</w:t>
      </w:r>
    </w:p>
    <w:p>
      <w:pPr>
        <w:ind w:left="567"/>
      </w:pPr>
      <w:r>
        <w:rPr>
          <w:rFonts w:ascii="Courier New" w:hAnsi="Courier New"/>
          <w:sz w:val="20"/>
        </w:rPr>
        <w:t>Engineering late and releasing incomplete packages</w:t>
        <w:br/>
        <w:t xml:space="preserve">        ↓</w:t>
        <w:br/>
        <w:t>Fabrication cannot close on time</w:t>
        <w:br/>
        <w:t xml:space="preserve">        ↓</w:t>
        <w:br/>
        <w:t>Operations costing and allocation cannot keep up</w:t>
        <w:br/>
        <w:t xml:space="preserve">        ↓</w:t>
        <w:br/>
        <w:t>Pressure floods the organisation → error rates climb → rework → repeat</w:t>
      </w:r>
    </w:p>
    <w:p>
      <w:r>
        <w:t>This is not a people problem. It is a systems and process problem.</w:t>
      </w:r>
    </w:p>
    <w:p>
      <w:pPr>
        <w:pStyle w:val="Heading1"/>
      </w:pPr>
      <w:r>
        <w:rPr>
          <w:color w:val="1F3664"/>
          <w:sz w:val="32"/>
        </w:rPr>
        <w:t>The Quality Picture — What the Data Tells Us</w:t>
      </w:r>
    </w:p>
    <w:p>
      <w:r>
        <w:t>We have analysed 4,964 repair actions captured in our quality system.</w:t>
      </w:r>
    </w:p>
    <w:p>
      <w:pPr>
        <w:pStyle w:val="Heading2"/>
      </w:pPr>
      <w:r>
        <w:rPr>
          <w:color w:val="2E74B5"/>
          <w:sz w:val="26"/>
        </w:rPr>
        <w:t>Volume Growing Faster Than the Business</w:t>
      </w:r>
    </w:p>
    <w:tbl>
      <w:tblPr>
        <w:tblStyle w:val="TableGrid"/>
        <w:tblW w:type="auto" w:w="0"/>
        <w:tblLook w:firstColumn="1" w:firstRow="1" w:lastColumn="0" w:lastRow="0" w:noHBand="0" w:noVBand="1" w:val="04A0"/>
      </w:tblPr>
      <w:tblGrid>
        <w:gridCol w:w="4703"/>
        <w:gridCol w:w="4703"/>
      </w:tblGrid>
      <w:tr>
        <w:tc>
          <w:tcPr>
            <w:tcW w:type="dxa" w:w="4703"/>
            <w:shd w:val="clear" w:color="auto" w:fill="1F3664"/>
          </w:tcPr>
          <w:p>
            <w:r>
              <w:rPr>
                <w:b/>
                <w:color w:val="FFFFFF"/>
                <w:sz w:val="20"/>
              </w:rPr>
              <w:t>Period</w:t>
            </w:r>
          </w:p>
        </w:tc>
        <w:tc>
          <w:tcPr>
            <w:tcW w:type="dxa" w:w="4703"/>
            <w:shd w:val="clear" w:color="auto" w:fill="1F3664"/>
          </w:tcPr>
          <w:p>
            <w:r>
              <w:rPr>
                <w:b/>
                <w:color w:val="FFFFFF"/>
                <w:sz w:val="20"/>
              </w:rPr>
              <w:t>Monthly Repair Actions</w:t>
            </w:r>
          </w:p>
        </w:tc>
      </w:tr>
      <w:tr>
        <w:tc>
          <w:tcPr>
            <w:tcW w:type="dxa" w:w="4703"/>
          </w:tcPr>
          <w:p>
            <w:r>
              <w:rPr>
                <w:sz w:val="20"/>
              </w:rPr>
              <w:t>October 2024</w:t>
            </w:r>
          </w:p>
        </w:tc>
        <w:tc>
          <w:tcPr>
            <w:tcW w:type="dxa" w:w="4703"/>
          </w:tcPr>
          <w:p>
            <w:r>
              <w:rPr>
                <w:sz w:val="20"/>
              </w:rPr>
              <w:t>210</w:t>
            </w:r>
          </w:p>
        </w:tc>
      </w:tr>
      <w:tr>
        <w:tc>
          <w:tcPr>
            <w:tcW w:type="dxa" w:w="4703"/>
            <w:shd w:val="clear" w:color="auto" w:fill="DCE6F1"/>
          </w:tcPr>
          <w:p>
            <w:r>
              <w:rPr>
                <w:sz w:val="20"/>
              </w:rPr>
              <w:t>March 2026</w:t>
            </w:r>
          </w:p>
        </w:tc>
        <w:tc>
          <w:tcPr>
            <w:tcW w:type="dxa" w:w="4703"/>
            <w:shd w:val="clear" w:color="auto" w:fill="DCE6F1"/>
          </w:tcPr>
          <w:p>
            <w:r>
              <w:rPr>
                <w:sz w:val="20"/>
              </w:rPr>
              <w:t>362</w:t>
            </w:r>
          </w:p>
        </w:tc>
      </w:tr>
      <w:tr>
        <w:tc>
          <w:tcPr>
            <w:tcW w:type="dxa" w:w="4703"/>
          </w:tcPr>
          <w:p>
            <w:r>
              <w:rPr>
                <w:sz w:val="20"/>
              </w:rPr>
              <w:t>Growth over 18 months</w:t>
            </w:r>
          </w:p>
        </w:tc>
        <w:tc>
          <w:tcPr>
            <w:tcW w:type="dxa" w:w="4703"/>
          </w:tcPr>
          <w:p>
            <w:r>
              <w:rPr>
                <w:sz w:val="20"/>
              </w:rPr>
              <w:t>+72%</w:t>
            </w:r>
          </w:p>
        </w:tc>
      </w:tr>
    </w:tbl>
    <w:p/>
    <w:p>
      <w:pPr>
        <w:pStyle w:val="Heading2"/>
      </w:pPr>
      <w:r>
        <w:rPr>
          <w:color w:val="2E74B5"/>
          <w:sz w:val="26"/>
        </w:rPr>
        <w:t>"Missing" is the Dominant Defect — 33%</w:t>
      </w:r>
    </w:p>
    <w:p>
      <w:r>
        <w:t>One in three repair actions is something that simply wasn't there — a part, a label, a fitting, a document. This is a BOM and checklist problem. It is preventable at the desk, not on the floor.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664"/>
          </w:tcPr>
          <w:p>
            <w:r>
              <w:rPr>
                <w:b/>
                <w:color w:val="FFFFFF"/>
                <w:sz w:val="20"/>
              </w:rPr>
              <w:t>Concern Type</w:t>
            </w:r>
          </w:p>
        </w:tc>
        <w:tc>
          <w:tcPr>
            <w:tcW w:type="dxa" w:w="3135"/>
            <w:shd w:val="clear" w:color="auto" w:fill="1F3664"/>
          </w:tcPr>
          <w:p>
            <w:r>
              <w:rPr>
                <w:b/>
                <w:color w:val="FFFFFF"/>
                <w:sz w:val="20"/>
              </w:rPr>
              <w:t>Count</w:t>
            </w:r>
          </w:p>
        </w:tc>
        <w:tc>
          <w:tcPr>
            <w:tcW w:type="dxa" w:w="3135"/>
            <w:shd w:val="clear" w:color="auto" w:fill="1F3664"/>
          </w:tcPr>
          <w:p>
            <w:r>
              <w:rPr>
                <w:b/>
                <w:color w:val="FFFFFF"/>
                <w:sz w:val="20"/>
              </w:rPr>
              <w:t>% of Total</w:t>
            </w:r>
          </w:p>
        </w:tc>
      </w:tr>
      <w:tr>
        <w:tc>
          <w:tcPr>
            <w:tcW w:type="dxa" w:w="3135"/>
          </w:tcPr>
          <w:p>
            <w:r>
              <w:rPr>
                <w:sz w:val="20"/>
              </w:rPr>
              <w:t>Missing</w:t>
            </w:r>
          </w:p>
        </w:tc>
        <w:tc>
          <w:tcPr>
            <w:tcW w:type="dxa" w:w="3135"/>
          </w:tcPr>
          <w:p>
            <w:r>
              <w:rPr>
                <w:sz w:val="20"/>
              </w:rPr>
              <w:t>1,625</w:t>
            </w:r>
          </w:p>
        </w:tc>
        <w:tc>
          <w:tcPr>
            <w:tcW w:type="dxa" w:w="3135"/>
          </w:tcPr>
          <w:p>
            <w:r>
              <w:rPr>
                <w:sz w:val="20"/>
              </w:rPr>
              <w:t>33%</w:t>
            </w:r>
          </w:p>
        </w:tc>
      </w:tr>
      <w:tr>
        <w:tc>
          <w:tcPr>
            <w:tcW w:type="dxa" w:w="3135"/>
            <w:shd w:val="clear" w:color="auto" w:fill="DCE6F1"/>
          </w:tcPr>
          <w:p>
            <w:r>
              <w:rPr>
                <w:sz w:val="20"/>
              </w:rPr>
              <w:t>Loose</w:t>
            </w:r>
          </w:p>
        </w:tc>
        <w:tc>
          <w:tcPr>
            <w:tcW w:type="dxa" w:w="3135"/>
            <w:shd w:val="clear" w:color="auto" w:fill="DCE6F1"/>
          </w:tcPr>
          <w:p>
            <w:r>
              <w:rPr>
                <w:sz w:val="20"/>
              </w:rPr>
              <w:t>177</w:t>
            </w:r>
          </w:p>
        </w:tc>
        <w:tc>
          <w:tcPr>
            <w:tcW w:type="dxa" w:w="3135"/>
            <w:shd w:val="clear" w:color="auto" w:fill="DCE6F1"/>
          </w:tcPr>
          <w:p>
            <w:r>
              <w:rPr>
                <w:sz w:val="20"/>
              </w:rPr>
              <w:t>4%</w:t>
            </w:r>
          </w:p>
        </w:tc>
      </w:tr>
      <w:tr>
        <w:tc>
          <w:tcPr>
            <w:tcW w:type="dxa" w:w="3135"/>
          </w:tcPr>
          <w:p>
            <w:r>
              <w:rPr>
                <w:sz w:val="20"/>
              </w:rPr>
              <w:t>Not fitted</w:t>
            </w:r>
          </w:p>
        </w:tc>
        <w:tc>
          <w:tcPr>
            <w:tcW w:type="dxa" w:w="3135"/>
          </w:tcPr>
          <w:p>
            <w:r>
              <w:rPr>
                <w:sz w:val="20"/>
              </w:rPr>
              <w:t>120</w:t>
            </w:r>
          </w:p>
        </w:tc>
        <w:tc>
          <w:tcPr>
            <w:tcW w:type="dxa" w:w="3135"/>
          </w:tcPr>
          <w:p>
            <w:r>
              <w:rPr>
                <w:sz w:val="20"/>
              </w:rPr>
              <w:t>2%</w:t>
            </w:r>
          </w:p>
        </w:tc>
      </w:tr>
      <w:tr>
        <w:tc>
          <w:tcPr>
            <w:tcW w:type="dxa" w:w="3135"/>
            <w:shd w:val="clear" w:color="auto" w:fill="DCE6F1"/>
          </w:tcPr>
          <w:p>
            <w:r>
              <w:rPr>
                <w:sz w:val="20"/>
              </w:rPr>
              <w:t>Incomplete</w:t>
            </w:r>
          </w:p>
        </w:tc>
        <w:tc>
          <w:tcPr>
            <w:tcW w:type="dxa" w:w="3135"/>
            <w:shd w:val="clear" w:color="auto" w:fill="DCE6F1"/>
          </w:tcPr>
          <w:p>
            <w:r>
              <w:rPr>
                <w:sz w:val="20"/>
              </w:rPr>
              <w:t>85</w:t>
            </w:r>
          </w:p>
        </w:tc>
        <w:tc>
          <w:tcPr>
            <w:tcW w:type="dxa" w:w="3135"/>
            <w:shd w:val="clear" w:color="auto" w:fill="DCE6F1"/>
          </w:tcPr>
          <w:p>
            <w:r>
              <w:rPr>
                <w:sz w:val="20"/>
              </w:rPr>
              <w:t>2%</w:t>
            </w:r>
          </w:p>
        </w:tc>
      </w:tr>
      <w:tr>
        <w:tc>
          <w:tcPr>
            <w:tcW w:type="dxa" w:w="3135"/>
          </w:tcPr>
          <w:p>
            <w:r>
              <w:rPr>
                <w:sz w:val="20"/>
              </w:rPr>
              <w:t>Not secured / Not sealed</w:t>
            </w:r>
          </w:p>
        </w:tc>
        <w:tc>
          <w:tcPr>
            <w:tcW w:type="dxa" w:w="3135"/>
          </w:tcPr>
          <w:p>
            <w:r>
              <w:rPr>
                <w:sz w:val="20"/>
              </w:rPr>
              <w:t>133</w:t>
            </w:r>
          </w:p>
        </w:tc>
        <w:tc>
          <w:tcPr>
            <w:tcW w:type="dxa" w:w="3135"/>
          </w:tcPr>
          <w:p>
            <w:r>
              <w:rPr>
                <w:sz w:val="20"/>
              </w:rPr>
              <w:t>3%</w:t>
            </w:r>
          </w:p>
        </w:tc>
      </w:tr>
    </w:tbl>
    <w:p/>
    <w:p>
      <w:pPr>
        <w:pStyle w:val="Heading2"/>
      </w:pPr>
      <w:r>
        <w:rPr>
          <w:color w:val="2E74B5"/>
          <w:sz w:val="26"/>
        </w:rPr>
        <w:t>Same Items Missed Job After Job</w:t>
      </w:r>
    </w:p>
    <w:tbl>
      <w:tblPr>
        <w:tblStyle w:val="TableGrid"/>
        <w:tblW w:type="auto" w:w="0"/>
        <w:tblLook w:firstColumn="1" w:firstRow="1" w:lastColumn="0" w:lastRow="0" w:noHBand="0" w:noVBand="1" w:val="04A0"/>
      </w:tblPr>
      <w:tblGrid>
        <w:gridCol w:w="4703"/>
        <w:gridCol w:w="4703"/>
      </w:tblGrid>
      <w:tr>
        <w:tc>
          <w:tcPr>
            <w:tcW w:type="dxa" w:w="4703"/>
            <w:shd w:val="clear" w:color="auto" w:fill="1F3664"/>
          </w:tcPr>
          <w:p>
            <w:r>
              <w:rPr>
                <w:b/>
                <w:color w:val="FFFFFF"/>
                <w:sz w:val="20"/>
              </w:rPr>
              <w:t>Item Missed</w:t>
            </w:r>
          </w:p>
        </w:tc>
        <w:tc>
          <w:tcPr>
            <w:tcW w:type="dxa" w:w="4703"/>
            <w:shd w:val="clear" w:color="auto" w:fill="1F3664"/>
          </w:tcPr>
          <w:p>
            <w:r>
              <w:rPr>
                <w:b/>
                <w:color w:val="FFFFFF"/>
                <w:sz w:val="20"/>
              </w:rPr>
              <w:t>Times Repeated</w:t>
            </w:r>
          </w:p>
        </w:tc>
      </w:tr>
      <w:tr>
        <w:tc>
          <w:tcPr>
            <w:tcW w:type="dxa" w:w="4703"/>
          </w:tcPr>
          <w:p>
            <w:r>
              <w:rPr>
                <w:sz w:val="20"/>
              </w:rPr>
              <w:t>Build checklist incomplete</w:t>
            </w:r>
          </w:p>
        </w:tc>
        <w:tc>
          <w:tcPr>
            <w:tcW w:type="dxa" w:w="4703"/>
          </w:tcPr>
          <w:p>
            <w:r>
              <w:rPr>
                <w:sz w:val="20"/>
              </w:rPr>
              <w:t>29</w:t>
            </w:r>
          </w:p>
        </w:tc>
      </w:tr>
      <w:tr>
        <w:tc>
          <w:tcPr>
            <w:tcW w:type="dxa" w:w="4703"/>
            <w:shd w:val="clear" w:color="auto" w:fill="DCE6F1"/>
          </w:tcPr>
          <w:p>
            <w:r>
              <w:rPr>
                <w:sz w:val="20"/>
              </w:rPr>
              <w:t>Spare wheel</w:t>
            </w:r>
          </w:p>
        </w:tc>
        <w:tc>
          <w:tcPr>
            <w:tcW w:type="dxa" w:w="4703"/>
            <w:shd w:val="clear" w:color="auto" w:fill="DCE6F1"/>
          </w:tcPr>
          <w:p>
            <w:r>
              <w:rPr>
                <w:sz w:val="20"/>
              </w:rPr>
              <w:t>21</w:t>
            </w:r>
          </w:p>
        </w:tc>
      </w:tr>
      <w:tr>
        <w:tc>
          <w:tcPr>
            <w:tcW w:type="dxa" w:w="4703"/>
          </w:tcPr>
          <w:p>
            <w:r>
              <w:rPr>
                <w:sz w:val="20"/>
              </w:rPr>
              <w:t>Fuel circuit plate / label</w:t>
            </w:r>
          </w:p>
        </w:tc>
        <w:tc>
          <w:tcPr>
            <w:tcW w:type="dxa" w:w="4703"/>
          </w:tcPr>
          <w:p>
            <w:r>
              <w:rPr>
                <w:sz w:val="20"/>
              </w:rPr>
              <w:t>14</w:t>
            </w:r>
          </w:p>
        </w:tc>
      </w:tr>
      <w:tr>
        <w:tc>
          <w:tcPr>
            <w:tcW w:type="dxa" w:w="4703"/>
            <w:shd w:val="clear" w:color="auto" w:fill="DCE6F1"/>
          </w:tcPr>
          <w:p>
            <w:r>
              <w:rPr>
                <w:sz w:val="20"/>
              </w:rPr>
              <w:t>Ladder</w:t>
            </w:r>
          </w:p>
        </w:tc>
        <w:tc>
          <w:tcPr>
            <w:tcW w:type="dxa" w:w="4703"/>
            <w:shd w:val="clear" w:color="auto" w:fill="DCE6F1"/>
          </w:tcPr>
          <w:p>
            <w:r>
              <w:rPr>
                <w:sz w:val="20"/>
              </w:rPr>
              <w:t>14</w:t>
            </w:r>
          </w:p>
        </w:tc>
      </w:tr>
      <w:tr>
        <w:tc>
          <w:tcPr>
            <w:tcW w:type="dxa" w:w="4703"/>
          </w:tcPr>
          <w:p>
            <w:r>
              <w:rPr>
                <w:sz w:val="20"/>
              </w:rPr>
              <w:t>Filter vessel elements</w:t>
            </w:r>
          </w:p>
        </w:tc>
        <w:tc>
          <w:tcPr>
            <w:tcW w:type="dxa" w:w="4703"/>
          </w:tcPr>
          <w:p>
            <w:r>
              <w:rPr>
                <w:sz w:val="20"/>
              </w:rPr>
              <w:t>11</w:t>
            </w:r>
          </w:p>
        </w:tc>
      </w:tr>
      <w:tr>
        <w:tc>
          <w:tcPr>
            <w:tcW w:type="dxa" w:w="4703"/>
            <w:shd w:val="clear" w:color="auto" w:fill="DCE6F1"/>
          </w:tcPr>
          <w:p>
            <w:r>
              <w:rPr>
                <w:sz w:val="20"/>
              </w:rPr>
              <w:t>Weighbridge docket</w:t>
            </w:r>
          </w:p>
        </w:tc>
        <w:tc>
          <w:tcPr>
            <w:tcW w:type="dxa" w:w="4703"/>
            <w:shd w:val="clear" w:color="auto" w:fill="DCE6F1"/>
          </w:tcPr>
          <w:p>
            <w:r>
              <w:rPr>
                <w:sz w:val="20"/>
              </w:rPr>
              <w:t>10</w:t>
            </w:r>
          </w:p>
        </w:tc>
      </w:tr>
      <w:tr>
        <w:tc>
          <w:tcPr>
            <w:tcW w:type="dxa" w:w="4703"/>
          </w:tcPr>
          <w:p>
            <w:r>
              <w:rPr>
                <w:sz w:val="20"/>
              </w:rPr>
              <w:t>Control panel nutserts</w:t>
            </w:r>
          </w:p>
        </w:tc>
        <w:tc>
          <w:tcPr>
            <w:tcW w:type="dxa" w:w="4703"/>
          </w:tcPr>
          <w:p>
            <w:r>
              <w:rPr>
                <w:sz w:val="20"/>
              </w:rPr>
              <w:t>9</w:t>
            </w:r>
          </w:p>
        </w:tc>
      </w:tr>
      <w:tr>
        <w:tc>
          <w:tcPr>
            <w:tcW w:type="dxa" w:w="4703"/>
            <w:shd w:val="clear" w:color="auto" w:fill="DCE6F1"/>
          </w:tcPr>
          <w:p>
            <w:r>
              <w:rPr>
                <w:sz w:val="20"/>
              </w:rPr>
              <w:t>5th wheel VASS label</w:t>
            </w:r>
          </w:p>
        </w:tc>
        <w:tc>
          <w:tcPr>
            <w:tcW w:type="dxa" w:w="4703"/>
            <w:shd w:val="clear" w:color="auto" w:fill="DCE6F1"/>
          </w:tcPr>
          <w:p>
            <w:r>
              <w:rPr>
                <w:sz w:val="20"/>
              </w:rPr>
              <w:t>9</w:t>
            </w:r>
          </w:p>
        </w:tc>
      </w:tr>
      <w:tr>
        <w:tc>
          <w:tcPr>
            <w:tcW w:type="dxa" w:w="4703"/>
          </w:tcPr>
          <w:p>
            <w:r>
              <w:rPr>
                <w:sz w:val="20"/>
              </w:rPr>
              <w:t>Wheel nut indicators</w:t>
            </w:r>
          </w:p>
        </w:tc>
        <w:tc>
          <w:tcPr>
            <w:tcW w:type="dxa" w:w="4703"/>
          </w:tcPr>
          <w:p>
            <w:r>
              <w:rPr>
                <w:sz w:val="20"/>
              </w:rPr>
              <w:t>7</w:t>
            </w:r>
          </w:p>
        </w:tc>
      </w:tr>
      <w:tr>
        <w:tc>
          <w:tcPr>
            <w:tcW w:type="dxa" w:w="4703"/>
            <w:shd w:val="clear" w:color="auto" w:fill="DCE6F1"/>
          </w:tcPr>
          <w:p>
            <w:r>
              <w:rPr>
                <w:sz w:val="20"/>
              </w:rPr>
              <w:t>Pressure vessel door seal</w:t>
            </w:r>
          </w:p>
        </w:tc>
        <w:tc>
          <w:tcPr>
            <w:tcW w:type="dxa" w:w="4703"/>
            <w:shd w:val="clear" w:color="auto" w:fill="DCE6F1"/>
          </w:tcPr>
          <w:p>
            <w:r>
              <w:rPr>
                <w:sz w:val="20"/>
              </w:rPr>
              <w:t>7</w:t>
            </w:r>
          </w:p>
        </w:tc>
      </w:tr>
    </w:tbl>
    <w:p/>
    <w:p>
      <w:pPr>
        <w:spacing w:before="80" w:after="160"/>
        <w:ind w:left="454"/>
      </w:pPr>
      <w:r>
        <w:rPr>
          <w:i/>
          <w:color w:val="2E74B5"/>
          <w:sz w:val="20"/>
        </w:rPr>
        <w:t>► Each of these should be fixed once — added permanently to the standard BOM — and never appear again.</w:t>
      </w:r>
    </w:p>
    <w:p>
      <w:pPr>
        <w:pStyle w:val="Heading2"/>
      </w:pPr>
      <w:r>
        <w:rPr>
          <w:color w:val="2E74B5"/>
          <w:sz w:val="26"/>
        </w:rPr>
        <w:t>392 Defects Reached the Customer</w:t>
      </w:r>
    </w:p>
    <w:p>
      <w:r>
        <w:t>392 repair actions were customer-initiated — meaning our inspection process did not catch them before shipment. Common examples: gladhands not fitted, incorrect fuel tank labels, missing wheel nut indicators, wrong RPM presets. In aviation refuelling equipment, this is a significant quality and reputational risk.</w:t>
      </w:r>
    </w:p>
    <w:p>
      <w:pPr>
        <w:pStyle w:val="Heading2"/>
      </w:pPr>
      <w:r>
        <w:rPr>
          <w:color w:val="2E74B5"/>
          <w:sz w:val="26"/>
        </w:rPr>
        <w:t>Root Cause Analysis Is Not Happening</w:t>
      </w:r>
    </w:p>
    <w:tbl>
      <w:tblPr>
        <w:tblStyle w:val="TableGrid"/>
        <w:tblW w:type="auto" w:w="0"/>
        <w:tblLook w:firstColumn="1" w:firstRow="1" w:lastColumn="0" w:lastRow="0" w:noHBand="0" w:noVBand="1" w:val="04A0"/>
      </w:tblPr>
      <w:tblGrid>
        <w:gridCol w:w="4703"/>
        <w:gridCol w:w="4703"/>
      </w:tblGrid>
      <w:tr>
        <w:tc>
          <w:tcPr>
            <w:tcW w:type="dxa" w:w="4703"/>
            <w:shd w:val="clear" w:color="auto" w:fill="1F3664"/>
          </w:tcPr>
          <w:p>
            <w:r>
              <w:rPr>
                <w:b/>
                <w:color w:val="FFFFFF"/>
                <w:sz w:val="20"/>
              </w:rPr>
              <w:t>Metric</w:t>
            </w:r>
          </w:p>
        </w:tc>
        <w:tc>
          <w:tcPr>
            <w:tcW w:type="dxa" w:w="4703"/>
            <w:shd w:val="clear" w:color="auto" w:fill="1F3664"/>
          </w:tcPr>
          <w:p>
            <w:r>
              <w:rPr>
                <w:b/>
                <w:color w:val="FFFFFF"/>
                <w:sz w:val="20"/>
              </w:rPr>
              <w:t>Reality</w:t>
            </w:r>
          </w:p>
        </w:tc>
      </w:tr>
      <w:tr>
        <w:tc>
          <w:tcPr>
            <w:tcW w:type="dxa" w:w="4703"/>
          </w:tcPr>
          <w:p>
            <w:r>
              <w:rPr>
                <w:sz w:val="20"/>
              </w:rPr>
              <w:t>Repair actions with root cause owner recorded</w:t>
            </w:r>
          </w:p>
        </w:tc>
        <w:tc>
          <w:tcPr>
            <w:tcW w:type="dxa" w:w="4703"/>
          </w:tcPr>
          <w:p>
            <w:r>
              <w:rPr>
                <w:sz w:val="20"/>
              </w:rPr>
              <w:t>108 of 4,964</w:t>
            </w:r>
          </w:p>
        </w:tc>
      </w:tr>
      <w:tr>
        <w:tc>
          <w:tcPr>
            <w:tcW w:type="dxa" w:w="4703"/>
            <w:shd w:val="clear" w:color="auto" w:fill="DCE6F1"/>
          </w:tcPr>
          <w:p>
            <w:r>
              <w:rPr>
                <w:sz w:val="20"/>
              </w:rPr>
              <w:t>Root cause field blank</w:t>
            </w:r>
          </w:p>
        </w:tc>
        <w:tc>
          <w:tcPr>
            <w:tcW w:type="dxa" w:w="4703"/>
            <w:shd w:val="clear" w:color="auto" w:fill="DCE6F1"/>
          </w:tcPr>
          <w:p>
            <w:r>
              <w:rPr>
                <w:sz w:val="20"/>
              </w:rPr>
              <w:t>98% of records</w:t>
            </w:r>
          </w:p>
        </w:tc>
      </w:tr>
    </w:tbl>
    <w:p/>
    <w:p>
      <w:pPr>
        <w:spacing w:before="80" w:after="160"/>
        <w:ind w:left="454"/>
      </w:pPr>
      <w:r>
        <w:rPr>
          <w:i/>
          <w:color w:val="2E74B5"/>
          <w:sz w:val="20"/>
        </w:rPr>
        <w:t>► We are fixing 4,964 problems but not asking why any of them happened. Without root cause closure, the same issues will generate the same volume next year.</w:t>
      </w:r>
    </w:p>
    <w:p>
      <w:pPr>
        <w:pStyle w:val="Heading2"/>
      </w:pPr>
      <w:r>
        <w:rPr>
          <w:color w:val="2E74B5"/>
          <w:sz w:val="26"/>
        </w:rPr>
        <w:t>Cell-Level Hotspots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664"/>
          </w:tcPr>
          <w:p>
            <w:r>
              <w:rPr>
                <w:b/>
                <w:color w:val="FFFFFF"/>
                <w:sz w:val="20"/>
              </w:rPr>
              <w:t>Cell</w:t>
            </w:r>
          </w:p>
        </w:tc>
        <w:tc>
          <w:tcPr>
            <w:tcW w:type="dxa" w:w="3135"/>
            <w:shd w:val="clear" w:color="auto" w:fill="1F3664"/>
          </w:tcPr>
          <w:p>
            <w:r>
              <w:rPr>
                <w:b/>
                <w:color w:val="FFFFFF"/>
                <w:sz w:val="20"/>
              </w:rPr>
              <w:t>Repair Actions</w:t>
            </w:r>
          </w:p>
        </w:tc>
        <w:tc>
          <w:tcPr>
            <w:tcW w:type="dxa" w:w="3135"/>
            <w:shd w:val="clear" w:color="auto" w:fill="1F3664"/>
          </w:tcPr>
          <w:p>
            <w:r>
              <w:rPr>
                <w:b/>
                <w:color w:val="FFFFFF"/>
                <w:sz w:val="20"/>
              </w:rPr>
              <w:t>Notes</w:t>
            </w:r>
          </w:p>
        </w:tc>
      </w:tr>
      <w:tr>
        <w:tc>
          <w:tcPr>
            <w:tcW w:type="dxa" w:w="3135"/>
          </w:tcPr>
          <w:p>
            <w:r>
              <w:rPr>
                <w:sz w:val="20"/>
              </w:rPr>
              <w:t>Manufacturing Aviation — General*</w:t>
            </w:r>
          </w:p>
        </w:tc>
        <w:tc>
          <w:tcPr>
            <w:tcW w:type="dxa" w:w="3135"/>
          </w:tcPr>
          <w:p>
            <w:r>
              <w:rPr>
                <w:sz w:val="20"/>
              </w:rPr>
              <w:t>2,284</w:t>
            </w:r>
          </w:p>
        </w:tc>
        <w:tc>
          <w:tcPr>
            <w:tcW w:type="dxa" w:w="3135"/>
          </w:tcPr>
          <w:p>
            <w:r>
              <w:rPr>
                <w:sz w:val="20"/>
              </w:rPr>
              <w:t>Data attribution gap — see Quality doc</w:t>
            </w:r>
          </w:p>
        </w:tc>
      </w:tr>
      <w:tr>
        <w:tc>
          <w:tcPr>
            <w:tcW w:type="dxa" w:w="3135"/>
            <w:shd w:val="clear" w:color="auto" w:fill="DCE6F1"/>
          </w:tcPr>
          <w:p>
            <w:r>
              <w:rPr>
                <w:sz w:val="20"/>
              </w:rPr>
              <w:t>Manufacturing Aviation — C8-9</w:t>
            </w:r>
          </w:p>
        </w:tc>
        <w:tc>
          <w:tcPr>
            <w:tcW w:type="dxa" w:w="3135"/>
            <w:shd w:val="clear" w:color="auto" w:fill="DCE6F1"/>
          </w:tcPr>
          <w:p>
            <w:r>
              <w:rPr>
                <w:sz w:val="20"/>
              </w:rPr>
              <w:t>1,061</w:t>
            </w:r>
          </w:p>
        </w:tc>
        <w:tc>
          <w:tcPr>
            <w:tcW w:type="dxa" w:w="3135"/>
            <w:shd w:val="clear" w:color="auto" w:fill="DCE6F1"/>
          </w:tcPr>
          <w:p>
            <w:r>
              <w:rPr>
                <w:sz w:val="20"/>
              </w:rPr>
              <w:t>Highest specific cell — investigate</w:t>
            </w:r>
          </w:p>
        </w:tc>
      </w:tr>
      <w:tr>
        <w:tc>
          <w:tcPr>
            <w:tcW w:type="dxa" w:w="3135"/>
          </w:tcPr>
          <w:p>
            <w:r>
              <w:rPr>
                <w:sz w:val="20"/>
              </w:rPr>
              <w:t>Engineering (Mech + Docs + Elect)</w:t>
            </w:r>
          </w:p>
        </w:tc>
        <w:tc>
          <w:tcPr>
            <w:tcW w:type="dxa" w:w="3135"/>
          </w:tcPr>
          <w:p>
            <w:r>
              <w:rPr>
                <w:sz w:val="20"/>
              </w:rPr>
              <w:t>766</w:t>
            </w:r>
          </w:p>
        </w:tc>
        <w:tc>
          <w:tcPr>
            <w:tcW w:type="dxa" w:w="3135"/>
          </w:tcPr>
          <w:p>
            <w:r>
              <w:rPr>
                <w:sz w:val="20"/>
              </w:rPr>
              <w:t>15% of all actions</w:t>
            </w:r>
          </w:p>
        </w:tc>
      </w:tr>
      <w:tr>
        <w:tc>
          <w:tcPr>
            <w:tcW w:type="dxa" w:w="3135"/>
            <w:shd w:val="clear" w:color="auto" w:fill="DCE6F1"/>
          </w:tcPr>
          <w:p>
            <w:r>
              <w:rPr>
                <w:sz w:val="20"/>
              </w:rPr>
              <w:t>Sales</w:t>
            </w:r>
          </w:p>
        </w:tc>
        <w:tc>
          <w:tcPr>
            <w:tcW w:type="dxa" w:w="3135"/>
            <w:shd w:val="clear" w:color="auto" w:fill="DCE6F1"/>
          </w:tcPr>
          <w:p>
            <w:r>
              <w:rPr>
                <w:sz w:val="20"/>
              </w:rPr>
              <w:t>262</w:t>
            </w:r>
          </w:p>
        </w:tc>
        <w:tc>
          <w:tcPr>
            <w:tcW w:type="dxa" w:w="3135"/>
            <w:shd w:val="clear" w:color="auto" w:fill="DCE6F1"/>
          </w:tcPr>
          <w:p>
            <w:r>
              <w:rPr>
                <w:sz w:val="20"/>
              </w:rPr>
              <w:t>Spec / handover related</w:t>
            </w:r>
          </w:p>
        </w:tc>
      </w:tr>
      <w:tr>
        <w:tc>
          <w:tcPr>
            <w:tcW w:type="dxa" w:w="3135"/>
          </w:tcPr>
          <w:p>
            <w:r>
              <w:rPr>
                <w:sz w:val="20"/>
              </w:rPr>
              <w:t>Supplier (Stores/Purchasing)</w:t>
            </w:r>
          </w:p>
        </w:tc>
        <w:tc>
          <w:tcPr>
            <w:tcW w:type="dxa" w:w="3135"/>
          </w:tcPr>
          <w:p>
            <w:r>
              <w:rPr>
                <w:sz w:val="20"/>
              </w:rPr>
              <w:t>176</w:t>
            </w:r>
          </w:p>
        </w:tc>
        <w:tc>
          <w:tcPr>
            <w:tcW w:type="dxa" w:w="3135"/>
          </w:tcPr>
          <w:p>
            <w:r>
              <w:rPr>
                <w:sz w:val="20"/>
              </w:rPr>
              <w:t>Supply chain originated</w:t>
            </w:r>
          </w:p>
        </w:tc>
      </w:tr>
      <w:tr>
        <w:tc>
          <w:tcPr>
            <w:tcW w:type="dxa" w:w="3135"/>
            <w:shd w:val="clear" w:color="auto" w:fill="DCE6F1"/>
          </w:tcPr>
          <w:p>
            <w:r>
              <w:rPr>
                <w:sz w:val="20"/>
              </w:rPr>
              <w:t>Manufacturing Aviation — C1-4</w:t>
            </w:r>
          </w:p>
        </w:tc>
        <w:tc>
          <w:tcPr>
            <w:tcW w:type="dxa" w:w="3135"/>
            <w:shd w:val="clear" w:color="auto" w:fill="DCE6F1"/>
          </w:tcPr>
          <w:p>
            <w:r>
              <w:rPr>
                <w:sz w:val="20"/>
              </w:rPr>
              <w:t>179</w:t>
            </w:r>
          </w:p>
        </w:tc>
        <w:tc>
          <w:tcPr>
            <w:tcW w:type="dxa" w:w="3135"/>
            <w:shd w:val="clear" w:color="auto" w:fill="DCE6F1"/>
          </w:tcPr>
          <w:p>
            <w:r>
              <w:rPr>
                <w:sz w:val="20"/>
              </w:rPr>
            </w:r>
          </w:p>
        </w:tc>
      </w:tr>
      <w:tr>
        <w:tc>
          <w:tcPr>
            <w:tcW w:type="dxa" w:w="3135"/>
          </w:tcPr>
          <w:p>
            <w:r>
              <w:rPr>
                <w:sz w:val="20"/>
              </w:rPr>
              <w:t>Manufacturing Aviation — C5-7</w:t>
            </w:r>
          </w:p>
        </w:tc>
        <w:tc>
          <w:tcPr>
            <w:tcW w:type="dxa" w:w="3135"/>
          </w:tcPr>
          <w:p>
            <w:r>
              <w:rPr>
                <w:sz w:val="20"/>
              </w:rPr>
              <w:t>174</w:t>
            </w:r>
          </w:p>
        </w:tc>
        <w:tc>
          <w:tcPr>
            <w:tcW w:type="dxa" w:w="3135"/>
          </w:tcPr>
          <w:p>
            <w:r>
              <w:rPr>
                <w:sz w:val="20"/>
              </w:rPr>
            </w:r>
          </w:p>
        </w:tc>
      </w:tr>
      <w:tr>
        <w:tc>
          <w:tcPr>
            <w:tcW w:type="dxa" w:w="3135"/>
            <w:shd w:val="clear" w:color="auto" w:fill="DCE6F1"/>
          </w:tcPr>
          <w:p>
            <w:r>
              <w:rPr>
                <w:sz w:val="20"/>
              </w:rPr>
              <w:t>Paint</w:t>
            </w:r>
          </w:p>
        </w:tc>
        <w:tc>
          <w:tcPr>
            <w:tcW w:type="dxa" w:w="3135"/>
            <w:shd w:val="clear" w:color="auto" w:fill="DCE6F1"/>
          </w:tcPr>
          <w:p>
            <w:r>
              <w:rPr>
                <w:sz w:val="20"/>
              </w:rPr>
              <w:t>168</w:t>
            </w:r>
          </w:p>
        </w:tc>
        <w:tc>
          <w:tcPr>
            <w:tcW w:type="dxa" w:w="3135"/>
            <w:shd w:val="clear" w:color="auto" w:fill="DCE6F1"/>
          </w:tcPr>
          <w:p>
            <w:r>
              <w:rPr>
                <w:sz w:val="20"/>
              </w:rPr>
            </w:r>
          </w:p>
        </w:tc>
      </w:tr>
      <w:tr>
        <w:tc>
          <w:tcPr>
            <w:tcW w:type="dxa" w:w="3135"/>
          </w:tcPr>
          <w:p>
            <w:r>
              <w:rPr>
                <w:sz w:val="20"/>
              </w:rPr>
              <w:t>Manufacturing (WO) — Fabrication</w:t>
            </w:r>
          </w:p>
        </w:tc>
        <w:tc>
          <w:tcPr>
            <w:tcW w:type="dxa" w:w="3135"/>
          </w:tcPr>
          <w:p>
            <w:r>
              <w:rPr>
                <w:sz w:val="20"/>
              </w:rPr>
              <w:t>132</w:t>
            </w:r>
          </w:p>
        </w:tc>
        <w:tc>
          <w:tcPr>
            <w:tcW w:type="dxa" w:w="3135"/>
          </w:tcPr>
          <w:p>
            <w:r>
              <w:rPr>
                <w:sz w:val="20"/>
              </w:rPr>
            </w:r>
          </w:p>
        </w:tc>
      </w:tr>
      <w:tr>
        <w:tc>
          <w:tcPr>
            <w:tcW w:type="dxa" w:w="3135"/>
            <w:shd w:val="clear" w:color="auto" w:fill="DCE6F1"/>
          </w:tcPr>
          <w:p>
            <w:r>
              <w:rPr>
                <w:sz w:val="20"/>
              </w:rPr>
              <w:t>Manufacturing Aviation — C10</w:t>
            </w:r>
          </w:p>
        </w:tc>
        <w:tc>
          <w:tcPr>
            <w:tcW w:type="dxa" w:w="3135"/>
            <w:shd w:val="clear" w:color="auto" w:fill="DCE6F1"/>
          </w:tcPr>
          <w:p>
            <w:r>
              <w:rPr>
                <w:sz w:val="20"/>
              </w:rPr>
              <w:t>120</w:t>
            </w:r>
          </w:p>
        </w:tc>
        <w:tc>
          <w:tcPr>
            <w:tcW w:type="dxa" w:w="3135"/>
            <w:shd w:val="clear" w:color="auto" w:fill="DCE6F1"/>
          </w:tcPr>
          <w:p>
            <w:r>
              <w:rPr>
                <w:sz w:val="20"/>
              </w:rPr>
            </w:r>
          </w:p>
        </w:tc>
      </w:tr>
    </w:tbl>
    <w:p/>
    <w:p>
      <w:r>
        <w:rPr>
          <w:i/>
          <w:sz w:val="20"/>
        </w:rPr>
        <w:t>*"General" = defect not assigned to a specific cell. 46% of all records unlocatable. This must be fixed — see Quality document.</w:t>
      </w:r>
    </w:p>
    <w:p>
      <w:pPr>
        <w:pStyle w:val="Heading1"/>
      </w:pPr>
      <w:r>
        <w:rPr>
          <w:color w:val="1F3664"/>
          <w:sz w:val="32"/>
        </w:rPr>
        <w:t>The Engineering Problem — Root Cause Analysis</w:t>
      </w:r>
    </w:p>
    <w:p>
      <w:pPr>
        <w:pStyle w:val="Heading2"/>
      </w:pPr>
      <w:r>
        <w:rPr>
          <w:color w:val="2E74B5"/>
          <w:sz w:val="26"/>
        </w:rPr>
        <w:t>Root Cause 1 — Schedule Has No Teeth</w:t>
      </w:r>
    </w:p>
    <w:p>
      <w:r>
        <w:t>A schedule exists. It is not being met. Jobs move from "in progress" to "late" with no early warning. Jobs are underestimated at intake, priorities conflict, and problems surface at the deadline — not before.</w:t>
      </w:r>
    </w:p>
    <w:p>
      <w:pPr>
        <w:pStyle w:val="Heading2"/>
      </w:pPr>
      <w:r>
        <w:rPr>
          <w:color w:val="2E74B5"/>
          <w:sz w:val="26"/>
        </w:rPr>
        <w:t>Root Cause 2 — Bills of Materials Released Incomplete</w:t>
      </w:r>
    </w:p>
    <w:p>
      <w:r>
        <w:t>Items are being left off BOMs and discovered in fabrication or assembly where the cost is multiplied. The data confirms this: 1,625 "missing" repair actions. Engineers release when drawings are done, not when the BOM is verified complete.</w:t>
      </w:r>
    </w:p>
    <w:p>
      <w:pPr>
        <w:pStyle w:val="Heading2"/>
      </w:pPr>
      <w:r>
        <w:rPr>
          <w:color w:val="2E74B5"/>
          <w:sz w:val="26"/>
        </w:rPr>
        <w:t>Root Cause 3 — No Substantive Review Before Release</w:t>
      </w:r>
    </w:p>
    <w:p>
      <w:r>
        <w:t>We use SolidWorks. Sub-assembly level interference detection is available and not mandatory. For large complex vehicles a structured senior engineer spatial review must accompany the automated check. The gate between engineering and production is not functioning as a gate.</w:t>
      </w:r>
    </w:p>
    <w:p>
      <w:pPr>
        <w:spacing w:before="80" w:after="160"/>
        <w:ind w:left="454"/>
      </w:pPr>
      <w:r>
        <w:rPr>
          <w:i/>
          <w:color w:val="2E74B5"/>
          <w:sz w:val="20"/>
        </w:rPr>
        <w:t>► "Released" means the engineer finished — not that the package is ready. We save an hour in engineering and spend a day on the floor.</w:t>
      </w:r>
    </w:p>
    <w:p>
      <w:pPr>
        <w:pStyle w:val="Heading1"/>
      </w:pPr>
      <w:r>
        <w:rPr>
          <w:color w:val="1F3664"/>
          <w:sz w:val="32"/>
        </w:rPr>
        <w:t>12-Month Plan: July 2026 – June 2027</w:t>
      </w:r>
    </w:p>
    <w:p>
      <w:r>
        <w:rPr>
          <w:i/>
        </w:rPr>
        <w:t>"Stabilise the Platform"</w:t>
      </w:r>
    </w:p>
    <w:p>
      <w:pPr>
        <w:pStyle w:val="Heading2"/>
      </w:pPr>
      <w:r>
        <w:rPr>
          <w:color w:val="2E74B5"/>
          <w:sz w:val="26"/>
        </w:rPr>
        <w:t>Priority 1 — Install the Engineering Release Gate (within 30 days)</w:t>
      </w:r>
    </w:p>
    <w:p>
      <w:r>
        <w:t>Non-negotiable before any package leaves engineering:</w:t>
      </w:r>
    </w:p>
    <w:p>
      <w:pPr>
        <w:pStyle w:val="ListBullet"/>
      </w:pPr>
      <w:r>
        <w:t>SolidWorks interference detection at sub-assembly level — completed and signed off</w:t>
      </w:r>
    </w:p>
    <w:p>
      <w:pPr>
        <w:pStyle w:val="ListBullet"/>
      </w:pPr>
      <w:r>
        <w:t>Senior engineer spatial review on complex jobs</w:t>
      </w:r>
    </w:p>
    <w:p>
      <w:pPr>
        <w:pStyle w:val="ListBullet"/>
      </w:pPr>
      <w:r>
        <w:t>BOM complete — every line item verified, quantities confirmed, part numbers resolved</w:t>
      </w:r>
    </w:p>
    <w:p>
      <w:pPr>
        <w:pStyle w:val="ListBullet"/>
      </w:pPr>
      <w:r>
        <w:t>Peer drawing review signed off</w:t>
      </w:r>
    </w:p>
    <w:p>
      <w:pPr>
        <w:pStyle w:val="ListBullet"/>
      </w:pPr>
      <w:r>
        <w:t>Engineering lead sign-off before release to production</w:t>
      </w:r>
    </w:p>
    <w:p>
      <w:pPr>
        <w:pStyle w:val="Heading2"/>
      </w:pPr>
      <w:r>
        <w:rPr>
          <w:color w:val="2E74B5"/>
          <w:sz w:val="26"/>
        </w:rPr>
        <w:t>Priority 2 — Fix Recurring BOM Items (this week)</w:t>
      </w:r>
    </w:p>
    <w:p>
      <w:r>
        <w:rPr>
          <w:b/>
        </w:rPr>
        <w:t>Spare wheel  |  Ladder  |  Fuel circuit plate/label  |  Control panel nutserts  |  5th wheel VASS label  |  Wheel nut indicators  |  Pressure vessel door seal  |  Weighbridge docket  |  Filter vessel elements</w:t>
      </w:r>
    </w:p>
    <w:p>
      <w:pPr>
        <w:spacing w:before="80" w:after="160"/>
        <w:ind w:left="454"/>
      </w:pPr>
      <w:r>
        <w:rPr>
          <w:i/>
          <w:color w:val="2E74B5"/>
          <w:sz w:val="20"/>
        </w:rPr>
        <w:t>► One hour of work. Permanent elimination of dozens of repeat repair actions.</w:t>
      </w:r>
    </w:p>
    <w:p>
      <w:pPr>
        <w:pStyle w:val="Heading2"/>
      </w:pPr>
      <w:r>
        <w:rPr>
          <w:color w:val="2E74B5"/>
          <w:sz w:val="26"/>
        </w:rPr>
        <w:t>Priority 3 — Close the Root Cause Loop</w:t>
      </w:r>
    </w:p>
    <w:p>
      <w:r>
        <w:t>Every completed repair action requires a root cause category and owner before closure. Monthly root cause report. Target: 100% closure rate within 3 months. This converts the repair system from a fix register into a learning system.</w:t>
      </w:r>
    </w:p>
    <w:p>
      <w:pPr>
        <w:pStyle w:val="Heading2"/>
      </w:pPr>
      <w:r>
        <w:rPr>
          <w:color w:val="2E74B5"/>
          <w:sz w:val="26"/>
        </w:rPr>
        <w:t>Priority 4 — Engineering Schedule Discipline</w:t>
      </w:r>
    </w:p>
    <w:p>
      <w:r>
        <w:t>Weekly engineering throughput review. Engineering lead owns the schedule. Estimate accuracy tracked by job type. Jobs sequenced by downstream impact, not intake order.</w:t>
      </w:r>
    </w:p>
    <w:p>
      <w:pPr>
        <w:pStyle w:val="Heading2"/>
      </w:pPr>
      <w:r>
        <w:rPr>
          <w:color w:val="2E74B5"/>
          <w:sz w:val="26"/>
        </w:rPr>
        <w:t>Priority 5 — Operations: Costing and Allocation Speed</w:t>
      </w:r>
    </w:p>
    <w:p>
      <w:r>
        <w:t>Map the costing process. Identify capacity vs workflow design issue. Target: 40% reduction in turnaround within 6 months. Assess systems investment requirement.</w:t>
      </w:r>
    </w:p>
    <w:p>
      <w:pPr>
        <w:pStyle w:val="Heading2"/>
      </w:pPr>
      <w:r>
        <w:rPr>
          <w:color w:val="2E74B5"/>
          <w:sz w:val="26"/>
        </w:rPr>
        <w:t>Priority 6 — Activate the Scorecard</w:t>
      </w:r>
    </w:p>
    <w:p>
      <w:r>
        <w:t>Baselines established for all KPIs by end Q1 FY27. Owner assigned to every KPI. Monthly one-page traffic light report.</w:t>
      </w:r>
    </w:p>
    <w:p>
      <w:pPr>
        <w:pStyle w:val="Heading1"/>
      </w:pPr>
      <w:r>
        <w:rPr>
          <w:color w:val="1F3664"/>
          <w:sz w:val="32"/>
        </w:rPr>
        <w:t>KPI Framework</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664"/>
          </w:tcPr>
          <w:p>
            <w:r>
              <w:rPr>
                <w:b/>
                <w:color w:val="FFFFFF"/>
                <w:sz w:val="20"/>
              </w:rPr>
              <w:t>Strategic Objective</w:t>
            </w:r>
          </w:p>
        </w:tc>
        <w:tc>
          <w:tcPr>
            <w:tcW w:type="dxa" w:w="3135"/>
            <w:shd w:val="clear" w:color="auto" w:fill="1F3664"/>
          </w:tcPr>
          <w:p>
            <w:r>
              <w:rPr>
                <w:b/>
                <w:color w:val="FFFFFF"/>
                <w:sz w:val="20"/>
              </w:rPr>
              <w:t>KPI</w:t>
            </w:r>
          </w:p>
        </w:tc>
        <w:tc>
          <w:tcPr>
            <w:tcW w:type="dxa" w:w="3135"/>
            <w:shd w:val="clear" w:color="auto" w:fill="1F3664"/>
          </w:tcPr>
          <w:p>
            <w:r>
              <w:rPr>
                <w:b/>
                <w:color w:val="FFFFFF"/>
                <w:sz w:val="20"/>
              </w:rPr>
              <w:t>Target</w:t>
            </w:r>
          </w:p>
        </w:tc>
      </w:tr>
      <w:tr>
        <w:tc>
          <w:tcPr>
            <w:tcW w:type="dxa" w:w="3135"/>
          </w:tcPr>
          <w:p>
            <w:r>
              <w:rPr>
                <w:sz w:val="20"/>
              </w:rPr>
              <w:t>Hunting on the Front Foot</w:t>
            </w:r>
          </w:p>
        </w:tc>
        <w:tc>
          <w:tcPr>
            <w:tcW w:type="dxa" w:w="3135"/>
          </w:tcPr>
          <w:p>
            <w:r>
              <w:rPr>
                <w:sz w:val="20"/>
              </w:rPr>
              <w:t>Qualified pipeline value ($)</w:t>
            </w:r>
          </w:p>
        </w:tc>
        <w:tc>
          <w:tcPr>
            <w:tcW w:type="dxa" w:w="3135"/>
          </w:tcPr>
          <w:p>
            <w:r>
              <w:rPr>
                <w:sz w:val="20"/>
              </w:rPr>
              <w:t>Increase QoQ</w:t>
            </w:r>
          </w:p>
        </w:tc>
      </w:tr>
      <w:tr>
        <w:tc>
          <w:tcPr>
            <w:tcW w:type="dxa" w:w="3135"/>
            <w:shd w:val="clear" w:color="auto" w:fill="DCE6F1"/>
          </w:tcPr>
          <w:p>
            <w:r>
              <w:rPr>
                <w:sz w:val="20"/>
              </w:rPr>
            </w:r>
          </w:p>
        </w:tc>
        <w:tc>
          <w:tcPr>
            <w:tcW w:type="dxa" w:w="3135"/>
            <w:shd w:val="clear" w:color="auto" w:fill="DCE6F1"/>
          </w:tcPr>
          <w:p>
            <w:r>
              <w:rPr>
                <w:sz w:val="20"/>
              </w:rPr>
              <w:t>Quote-to-order conversion rate (%)</w:t>
            </w:r>
          </w:p>
        </w:tc>
        <w:tc>
          <w:tcPr>
            <w:tcW w:type="dxa" w:w="3135"/>
            <w:shd w:val="clear" w:color="auto" w:fill="DCE6F1"/>
          </w:tcPr>
          <w:p>
            <w:r>
              <w:rPr>
                <w:sz w:val="20"/>
              </w:rPr>
              <w:t>Baseline + improve</w:t>
            </w:r>
          </w:p>
        </w:tc>
      </w:tr>
      <w:tr>
        <w:tc>
          <w:tcPr>
            <w:tcW w:type="dxa" w:w="3135"/>
          </w:tcPr>
          <w:p>
            <w:r>
              <w:rPr>
                <w:sz w:val="20"/>
              </w:rPr>
            </w:r>
          </w:p>
        </w:tc>
        <w:tc>
          <w:tcPr>
            <w:tcW w:type="dxa" w:w="3135"/>
          </w:tcPr>
          <w:p>
            <w:r>
              <w:rPr>
                <w:sz w:val="20"/>
              </w:rPr>
              <w:t>New customer revenue as % of total</w:t>
            </w:r>
          </w:p>
        </w:tc>
        <w:tc>
          <w:tcPr>
            <w:tcW w:type="dxa" w:w="3135"/>
          </w:tcPr>
          <w:p>
            <w:r>
              <w:rPr>
                <w:sz w:val="20"/>
              </w:rPr>
              <w:t>Increase</w:t>
            </w:r>
          </w:p>
        </w:tc>
      </w:tr>
      <w:tr>
        <w:tc>
          <w:tcPr>
            <w:tcW w:type="dxa" w:w="3135"/>
            <w:shd w:val="clear" w:color="auto" w:fill="DCE6F1"/>
          </w:tcPr>
          <w:p>
            <w:r>
              <w:rPr>
                <w:sz w:val="20"/>
              </w:rPr>
              <w:t>First Pass Business</w:t>
            </w:r>
          </w:p>
        </w:tc>
        <w:tc>
          <w:tcPr>
            <w:tcW w:type="dxa" w:w="3135"/>
            <w:shd w:val="clear" w:color="auto" w:fill="DCE6F1"/>
          </w:tcPr>
          <w:p>
            <w:r>
              <w:rPr>
                <w:sz w:val="20"/>
              </w:rPr>
              <w:t>Engineering on-time release rate (%)</w:t>
            </w:r>
          </w:p>
        </w:tc>
        <w:tc>
          <w:tcPr>
            <w:tcW w:type="dxa" w:w="3135"/>
            <w:shd w:val="clear" w:color="auto" w:fill="DCE6F1"/>
          </w:tcPr>
          <w:p>
            <w:r>
              <w:rPr>
                <w:sz w:val="20"/>
              </w:rPr>
              <w:t>85% @ 6mo, 95% @ 12mo</w:t>
            </w:r>
          </w:p>
        </w:tc>
      </w:tr>
      <w:tr>
        <w:tc>
          <w:tcPr>
            <w:tcW w:type="dxa" w:w="3135"/>
          </w:tcPr>
          <w:p>
            <w:r>
              <w:rPr>
                <w:sz w:val="20"/>
              </w:rPr>
            </w:r>
          </w:p>
        </w:tc>
        <w:tc>
          <w:tcPr>
            <w:tcW w:type="dxa" w:w="3135"/>
          </w:tcPr>
          <w:p>
            <w:r>
              <w:rPr>
                <w:sz w:val="20"/>
              </w:rPr>
              <w:t>BOM-originated production stops (count)</w:t>
            </w:r>
          </w:p>
        </w:tc>
        <w:tc>
          <w:tcPr>
            <w:tcW w:type="dxa" w:w="3135"/>
          </w:tcPr>
          <w:p>
            <w:r>
              <w:rPr>
                <w:sz w:val="20"/>
              </w:rPr>
              <w:t>Trending to zero within 12mo</w:t>
            </w:r>
          </w:p>
        </w:tc>
      </w:tr>
      <w:tr>
        <w:tc>
          <w:tcPr>
            <w:tcW w:type="dxa" w:w="3135"/>
            <w:shd w:val="clear" w:color="auto" w:fill="DCE6F1"/>
          </w:tcPr>
          <w:p>
            <w:r>
              <w:rPr>
                <w:sz w:val="20"/>
              </w:rPr>
            </w:r>
          </w:p>
        </w:tc>
        <w:tc>
          <w:tcPr>
            <w:tcW w:type="dxa" w:w="3135"/>
            <w:shd w:val="clear" w:color="auto" w:fill="DCE6F1"/>
          </w:tcPr>
          <w:p>
            <w:r>
              <w:rPr>
                <w:sz w:val="20"/>
              </w:rPr>
              <w:t>Repair actions per job (avg)</w:t>
            </w:r>
          </w:p>
        </w:tc>
        <w:tc>
          <w:tcPr>
            <w:tcW w:type="dxa" w:w="3135"/>
            <w:shd w:val="clear" w:color="auto" w:fill="DCE6F1"/>
          </w:tcPr>
          <w:p>
            <w:r>
              <w:rPr>
                <w:sz w:val="20"/>
              </w:rPr>
              <w:t>Reduce 50% within 12mo</w:t>
            </w:r>
          </w:p>
        </w:tc>
      </w:tr>
      <w:tr>
        <w:tc>
          <w:tcPr>
            <w:tcW w:type="dxa" w:w="3135"/>
          </w:tcPr>
          <w:p>
            <w:r>
              <w:rPr>
                <w:sz w:val="20"/>
              </w:rPr>
            </w:r>
          </w:p>
        </w:tc>
        <w:tc>
          <w:tcPr>
            <w:tcW w:type="dxa" w:w="3135"/>
          </w:tcPr>
          <w:p>
            <w:r>
              <w:rPr>
                <w:sz w:val="20"/>
              </w:rPr>
              <w:t>Customer-discovered defects (count)</w:t>
            </w:r>
          </w:p>
        </w:tc>
        <w:tc>
          <w:tcPr>
            <w:tcW w:type="dxa" w:w="3135"/>
          </w:tcPr>
          <w:p>
            <w:r>
              <w:rPr>
                <w:sz w:val="20"/>
              </w:rPr>
              <w:t>Target &lt;50 per year</w:t>
            </w:r>
          </w:p>
        </w:tc>
      </w:tr>
      <w:tr>
        <w:tc>
          <w:tcPr>
            <w:tcW w:type="dxa" w:w="3135"/>
            <w:shd w:val="clear" w:color="auto" w:fill="DCE6F1"/>
          </w:tcPr>
          <w:p>
            <w:r>
              <w:rPr>
                <w:sz w:val="20"/>
              </w:rPr>
            </w:r>
          </w:p>
        </w:tc>
        <w:tc>
          <w:tcPr>
            <w:tcW w:type="dxa" w:w="3135"/>
            <w:shd w:val="clear" w:color="auto" w:fill="DCE6F1"/>
          </w:tcPr>
          <w:p>
            <w:r>
              <w:rPr>
                <w:sz w:val="20"/>
              </w:rPr>
              <w:t>Root cause closure rate (%)</w:t>
            </w:r>
          </w:p>
        </w:tc>
        <w:tc>
          <w:tcPr>
            <w:tcW w:type="dxa" w:w="3135"/>
            <w:shd w:val="clear" w:color="auto" w:fill="DCE6F1"/>
          </w:tcPr>
          <w:p>
            <w:r>
              <w:rPr>
                <w:sz w:val="20"/>
              </w:rPr>
              <w:t>100% within 3mo</w:t>
            </w:r>
          </w:p>
        </w:tc>
      </w:tr>
      <w:tr>
        <w:tc>
          <w:tcPr>
            <w:tcW w:type="dxa" w:w="3135"/>
          </w:tcPr>
          <w:p>
            <w:r>
              <w:rPr>
                <w:sz w:val="20"/>
              </w:rPr>
            </w:r>
          </w:p>
        </w:tc>
        <w:tc>
          <w:tcPr>
            <w:tcW w:type="dxa" w:w="3135"/>
          </w:tcPr>
          <w:p>
            <w:r>
              <w:rPr>
                <w:sz w:val="20"/>
              </w:rPr>
              <w:t>On-time delivery to customer (%)</w:t>
            </w:r>
          </w:p>
        </w:tc>
        <w:tc>
          <w:tcPr>
            <w:tcW w:type="dxa" w:w="3135"/>
          </w:tcPr>
          <w:p>
            <w:r>
              <w:rPr>
                <w:sz w:val="20"/>
              </w:rPr>
              <w:t>Baseline + improve</w:t>
            </w:r>
          </w:p>
        </w:tc>
      </w:tr>
      <w:tr>
        <w:tc>
          <w:tcPr>
            <w:tcW w:type="dxa" w:w="3135"/>
            <w:shd w:val="clear" w:color="auto" w:fill="DCE6F1"/>
          </w:tcPr>
          <w:p>
            <w:r>
              <w:rPr>
                <w:sz w:val="20"/>
              </w:rPr>
              <w:t>Increase Throughput</w:t>
            </w:r>
          </w:p>
        </w:tc>
        <w:tc>
          <w:tcPr>
            <w:tcW w:type="dxa" w:w="3135"/>
            <w:shd w:val="clear" w:color="auto" w:fill="DCE6F1"/>
          </w:tcPr>
          <w:p>
            <w:r>
              <w:rPr>
                <w:sz w:val="20"/>
              </w:rPr>
              <w:t>Revenue per head ($)</w:t>
            </w:r>
          </w:p>
        </w:tc>
        <w:tc>
          <w:tcPr>
            <w:tcW w:type="dxa" w:w="3135"/>
            <w:shd w:val="clear" w:color="auto" w:fill="DCE6F1"/>
          </w:tcPr>
          <w:p>
            <w:r>
              <w:rPr>
                <w:sz w:val="20"/>
              </w:rPr>
              <w:t>Increase YoY</w:t>
            </w:r>
          </w:p>
        </w:tc>
      </w:tr>
      <w:tr>
        <w:tc>
          <w:tcPr>
            <w:tcW w:type="dxa" w:w="3135"/>
          </w:tcPr>
          <w:p>
            <w:r>
              <w:rPr>
                <w:sz w:val="20"/>
              </w:rPr>
            </w:r>
          </w:p>
        </w:tc>
        <w:tc>
          <w:tcPr>
            <w:tcW w:type="dxa" w:w="3135"/>
          </w:tcPr>
          <w:p>
            <w:r>
              <w:rPr>
                <w:sz w:val="20"/>
              </w:rPr>
              <w:t>Build cycle time by product type (days)</w:t>
            </w:r>
          </w:p>
        </w:tc>
        <w:tc>
          <w:tcPr>
            <w:tcW w:type="dxa" w:w="3135"/>
          </w:tcPr>
          <w:p>
            <w:r>
              <w:rPr>
                <w:sz w:val="20"/>
              </w:rPr>
              <w:t>Reduce</w:t>
            </w:r>
          </w:p>
        </w:tc>
      </w:tr>
      <w:tr>
        <w:tc>
          <w:tcPr>
            <w:tcW w:type="dxa" w:w="3135"/>
            <w:shd w:val="clear" w:color="auto" w:fill="DCE6F1"/>
          </w:tcPr>
          <w:p>
            <w:r>
              <w:rPr>
                <w:sz w:val="20"/>
              </w:rPr>
            </w:r>
          </w:p>
        </w:tc>
        <w:tc>
          <w:tcPr>
            <w:tcW w:type="dxa" w:w="3135"/>
            <w:shd w:val="clear" w:color="auto" w:fill="DCE6F1"/>
          </w:tcPr>
          <w:p>
            <w:r>
              <w:rPr>
                <w:sz w:val="20"/>
              </w:rPr>
              <w:t>Fabrication on-time close rate (%)</w:t>
            </w:r>
          </w:p>
        </w:tc>
        <w:tc>
          <w:tcPr>
            <w:tcW w:type="dxa" w:w="3135"/>
            <w:shd w:val="clear" w:color="auto" w:fill="DCE6F1"/>
          </w:tcPr>
          <w:p>
            <w:r>
              <w:rPr>
                <w:sz w:val="20"/>
              </w:rPr>
              <w:t>Improve QoQ</w:t>
            </w:r>
          </w:p>
        </w:tc>
      </w:tr>
      <w:tr>
        <w:tc>
          <w:tcPr>
            <w:tcW w:type="dxa" w:w="3135"/>
          </w:tcPr>
          <w:p>
            <w:r>
              <w:rPr>
                <w:sz w:val="20"/>
              </w:rPr>
            </w:r>
          </w:p>
        </w:tc>
        <w:tc>
          <w:tcPr>
            <w:tcW w:type="dxa" w:w="3135"/>
          </w:tcPr>
          <w:p>
            <w:r>
              <w:rPr>
                <w:sz w:val="20"/>
              </w:rPr>
              <w:t>Costing turnaround time (days)</w:t>
            </w:r>
          </w:p>
        </w:tc>
        <w:tc>
          <w:tcPr>
            <w:tcW w:type="dxa" w:w="3135"/>
          </w:tcPr>
          <w:p>
            <w:r>
              <w:rPr>
                <w:sz w:val="20"/>
              </w:rPr>
              <w:t>Reduce 40% within 6mo</w:t>
            </w:r>
          </w:p>
        </w:tc>
      </w:tr>
    </w:tbl>
    <w:p/>
    <w:p>
      <w:pPr>
        <w:pStyle w:val="Heading1"/>
      </w:pPr>
      <w:r>
        <w:rPr>
          <w:color w:val="1F3664"/>
          <w:sz w:val="32"/>
        </w:rPr>
        <w:t>3-Year Vision: 2027–2029</w:t>
      </w:r>
    </w:p>
    <w:p>
      <w:r>
        <w:rPr>
          <w:i/>
        </w:rPr>
        <w:t>"The Scalable Business"</w:t>
      </w:r>
    </w:p>
    <w:p>
      <w:r>
        <w:rPr>
          <w:b/>
        </w:rPr>
        <w:t>Pillar 1 — Engineering as Competitive Advantage:</w:t>
      </w:r>
      <w:r>
        <w:t xml:space="preserve"> By 2029, engineering is a reason customers choose us — faster turnaround, fewer production queries, more innovative product.</w:t>
      </w:r>
    </w:p>
    <w:p>
      <w:r>
        <w:rPr>
          <w:b/>
        </w:rPr>
        <w:t>Pillar 2 — Systems that Scale:</w:t>
      </w:r>
      <w:r>
        <w:t xml:space="preserve"> Move from people-dependent to process-dependent. Let 160 people do the work of 220.</w:t>
      </w:r>
    </w:p>
    <w:p>
      <w:r>
        <w:rPr>
          <w:b/>
        </w:rPr>
        <w:t>Pillar 3 — Controlled Market Expansion:</w:t>
      </w:r>
      <w:r>
        <w:t xml:space="preserve"> Fuel tankers and aviation refuellers remain the core. Mining fuel trucks — deliberate go/no-go decision by 2027.</w:t>
      </w:r>
    </w:p>
    <w:p>
      <w:r>
        <w:t>Revenue ambition: $140–180M AUD by 2029 — achievable if First Pass Business is solved.</w:t>
      </w:r>
    </w:p>
    <w:p>
      <w:pPr>
        <w:pStyle w:val="Heading1"/>
      </w:pPr>
      <w:r>
        <w:rPr>
          <w:color w:val="1F3664"/>
          <w:sz w:val="32"/>
        </w:rPr>
        <w:t>The Ask — What We Need to Agree</w:t>
      </w:r>
    </w:p>
    <w:p>
      <w:pPr>
        <w:pStyle w:val="ListNumber"/>
      </w:pPr>
      <w:r>
        <w:t>1.  Engineering is the constraint — focused attention and accountability in the next 90 days</w:t>
      </w:r>
    </w:p>
    <w:p>
      <w:pPr>
        <w:pStyle w:val="ListNumber"/>
      </w:pPr>
      <w:r>
        <w:t>2.  The release gate is non-negotiable — mandatory checklist, sub-assembly interference detection, BOM sign-off</w:t>
      </w:r>
    </w:p>
    <w:p>
      <w:pPr>
        <w:pStyle w:val="ListNumber"/>
      </w:pPr>
      <w:r>
        <w:t>3.  Fix the recurring BOM items this week — one hour of work, permanent elimination</w:t>
      </w:r>
    </w:p>
    <w:p>
      <w:pPr>
        <w:pStyle w:val="ListNumber"/>
      </w:pPr>
      <w:r>
        <w:t>4.  Root cause closure — no repair action closed without a documented root cause owner</w:t>
      </w:r>
    </w:p>
    <w:p>
      <w:pPr>
        <w:pStyle w:val="ListNumber"/>
      </w:pPr>
      <w:r>
        <w:t>5.  Engineering lead accountability — who owns schedule performance? Name, authority, expectation</w:t>
      </w:r>
    </w:p>
    <w:p>
      <w:pPr>
        <w:pStyle w:val="ListNumber"/>
      </w:pPr>
      <w:r>
        <w:t>6.  Scorecard activation — baselines by end Q1 FY27, KPI owners by end July 2026</w:t>
      </w:r>
    </w:p>
    <w:p>
      <w:pPr>
        <w:pStyle w:val="ListNumber"/>
      </w:pPr>
      <w:r>
        <w:t>7.  Mining market — active assessment in FY27, or wait?</w:t>
      </w:r>
    </w:p>
    <w:p>
      <w:pPr>
        <w:pStyle w:val="ListNumber"/>
      </w:pPr>
      <w:r>
        <w:t>8.  Data capability — internal owner for quality data, or a dedicated hire?</w:t>
      </w:r>
    </w:p>
    <w:p>
      <w:pPr>
        <w:pStyle w:val="Heading1"/>
      </w:pPr>
      <w:r>
        <w:rPr>
          <w:color w:val="1F3664"/>
          <w:sz w:val="32"/>
        </w:rPr>
        <w:t>Closing Thought</w:t>
      </w:r>
    </w:p>
    <w:p>
      <w:r>
        <w:t>We have something rare: a business that has grown 10x with its culture intact. The team is capable. The data confirms the problems are specific and fixable.</w:t>
      </w:r>
    </w:p>
    <w:p>
      <w:r>
        <w:rPr>
          <w:b/>
        </w:rPr>
        <w:t>The engineering release gate, the recurring BOM fixes, and root cause closure can all be started this week. None of them require capital. They require discipline — and the commitment to hold it under pressure.</w:t>
      </w:r>
    </w:p>
    <w:p>
      <w:r>
        <w:t>The hardest part of our growth story is behind us. The most important part is next.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