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3557"/>
            <w:tcW w:w="6520" w:type="dxa"/>
          </w:tcPr>
          <w:p>
            <w:pPr>
              <w:spacing w:before="200" w:after="40"/>
              <w:ind w:left="216"/>
            </w:pPr>
            <w:r>
              <w:rPr>
                <w:b/>
                <w:color w:val="FFFFFF"/>
                <w:sz w:val="40"/>
              </w:rPr>
              <w:t>The 3-Year Vision — 2027 to 2029</w:t>
            </w:r>
          </w:p>
        </w:tc>
        <w:tc>
          <w:tcPr>
            <w:tcW w:type="dxa" w:w="4986"/>
            <w:vMerge w:val="restart"/>
            <w:shd w:val="clear" w:color="auto" w:fill="1B3557"/>
            <w:tcW w:w="2551" w:type="dxa"/>
            <w:shd w:val="clear" w:color="auto" w:fill="FFC000"/>
          </w:tcPr>
          <w:p>
            <w:pPr>
              <w:spacing w:before="160" w:after="40"/>
              <w:jc w:val="center"/>
            </w:pPr>
            <w:r>
              <w:rPr>
                <w:b/>
                <w:color w:val="1B3557"/>
                <w:sz w:val="36"/>
              </w:rPr>
              <w:t>$140–180M</w:t>
            </w:r>
          </w:p>
          <w:p>
            <w:pPr>
              <w:spacing w:before="0" w:after="160"/>
              <w:jc w:val="center"/>
            </w:pPr>
            <w:r>
              <w:rPr>
                <w:b/>
                <w:color w:val="1B3557"/>
                <w:sz w:val="16"/>
              </w:rPr>
              <w:t>AUD Revenue Target by 2029</w:t>
            </w:r>
          </w:p>
        </w:tc>
      </w:tr>
      <w:tr>
        <w:tc>
          <w:tcPr>
            <w:tcW w:type="dxa" w:w="4986"/>
            <w:shd w:val="clear" w:color="auto" w:fill="1B3557"/>
          </w:tcPr>
          <w:p>
            <w:pPr>
              <w:spacing w:before="0" w:after="200"/>
              <w:ind w:left="216"/>
            </w:pPr>
            <w:r>
              <w:rPr>
                <w:color w:val="64748B"/>
                <w:sz w:val="18"/>
              </w:rPr>
              <w:t>Strategic Roadmap 2026–2029  ·  Section 8  ·  "The Scalable Business"</w:t>
            </w:r>
          </w:p>
        </w:tc>
        <w:tc>
          <w:tcPr>
            <w:tcW w:type="dxa" w:w="4986"/>
            <w:vMerge/>
            <w:shd w:val="clear" w:color="auto" w:fill="1B3557"/>
          </w:tcPr>
          <w:p/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W w:w="3022" w:type="dxa"/>
            <w:shd w:val="clear" w:color="auto" w:fill="E8F0FB"/>
          </w:tcPr>
          <w:p>
            <w:pPr>
              <w:spacing w:before="160" w:after="40"/>
              <w:ind w:left="144"/>
            </w:pPr>
            <w:r>
              <w:rPr>
                <w:b/>
                <w:color w:val="2E74B5"/>
                <w:sz w:val="15"/>
              </w:rPr>
              <w:t>PILLAR ONE</w:t>
            </w:r>
          </w:p>
          <w:p>
            <w:pPr>
              <w:spacing w:before="80" w:after="120"/>
              <w:ind w:left="144"/>
            </w:pPr>
            <w:r>
              <w:rPr>
                <w:b/>
                <w:color w:val="2E74B5"/>
                <w:sz w:val="24"/>
              </w:rPr>
              <w:t>Engineering as Competitive Advantage</w:t>
            </w:r>
          </w:p>
          <w:p>
            <w:pPr>
              <w:spacing w:before="40" w:after="80"/>
              <w:ind w:left="144"/>
            </w:pPr>
            <w:r>
              <w:rPr>
                <w:color w:val="1A202C"/>
                <w:sz w:val="18"/>
              </w:rPr>
              <w:t>By 2029, engineering is a reason customers choose us — faster turnaround, fewer production queries, more innovative product. Fix the basics in year one.</w:t>
            </w:r>
          </w:p>
          <w:p>
            <w:pPr>
              <w:spacing w:before="40" w:after="80"/>
              <w:ind w:left="144"/>
            </w:pPr>
            <w:r>
              <w:rPr>
                <w:color w:val="1A202C"/>
                <w:sz w:val="18"/>
              </w:rPr>
              <w:t>A disciplined engineering function that releases complete, accurate packages on time is the foundation of everything else.</w:t>
            </w:r>
          </w:p>
          <w:p>
            <w:pPr>
              <w:spacing w:before="120" w:after="160"/>
              <w:ind w:left="144"/>
              <w:shd w:val="clear" w:color="auto" w:fill="D6E8FF"/>
            </w:pPr>
            <w:r>
              <w:rPr>
                <w:b/>
                <w:color w:val="2E74B5"/>
                <w:sz w:val="16"/>
              </w:rPr>
              <w:t xml:space="preserve">  Year 1 focus  →  Years 2–3 leverage  </w:t>
            </w:r>
          </w:p>
        </w:tc>
        <w:tc>
          <w:tcPr>
            <w:tcW w:type="dxa" w:w="3324"/>
            <w:tcW w:w="3022" w:type="dxa"/>
            <w:shd w:val="clear" w:color="auto" w:fill="E8F0FB"/>
          </w:tcPr>
          <w:p>
            <w:pPr>
              <w:spacing w:before="160" w:after="40"/>
              <w:ind w:left="144"/>
            </w:pPr>
            <w:r>
              <w:rPr>
                <w:b/>
                <w:color w:val="2E74B5"/>
                <w:sz w:val="15"/>
              </w:rPr>
              <w:t>PILLAR TWO</w:t>
            </w:r>
          </w:p>
          <w:p>
            <w:pPr>
              <w:spacing w:before="80" w:after="120"/>
              <w:ind w:left="144"/>
            </w:pPr>
            <w:r>
              <w:rPr>
                <w:b/>
                <w:color w:val="2E74B5"/>
                <w:sz w:val="24"/>
              </w:rPr>
              <w:t>Systems that Scale</w:t>
            </w:r>
          </w:p>
          <w:p>
            <w:pPr>
              <w:spacing w:before="40" w:after="80"/>
              <w:ind w:left="144"/>
            </w:pPr>
            <w:r>
              <w:rPr>
                <w:color w:val="1A202C"/>
                <w:sz w:val="18"/>
              </w:rPr>
              <w:t>Move from people-dependent to process-dependent. Invest in the systems that let 160 people do the work of 220.</w:t>
            </w:r>
          </w:p>
          <w:p>
            <w:pPr>
              <w:spacing w:before="40" w:after="80"/>
              <w:ind w:left="144"/>
            </w:pPr>
            <w:r>
              <w:rPr>
                <w:color w:val="1A202C"/>
                <w:sz w:val="18"/>
              </w:rPr>
              <w:t>The costing bottleneck and the absence of root cause data are the first signals our systems haven't scaled with volume.</w:t>
            </w:r>
          </w:p>
          <w:p>
            <w:pPr>
              <w:spacing w:before="120" w:after="160"/>
              <w:ind w:left="144"/>
              <w:shd w:val="clear" w:color="auto" w:fill="2E74B5"/>
            </w:pPr>
            <w:r>
              <w:rPr>
                <w:b/>
                <w:color w:val="FFFFFF"/>
                <w:sz w:val="16"/>
              </w:rPr>
              <w:t xml:space="preserve">  ERP assessment  ·  Modular engineering  ·  Data capability  </w:t>
            </w:r>
          </w:p>
        </w:tc>
        <w:tc>
          <w:tcPr>
            <w:tcW w:type="dxa" w:w="3324"/>
            <w:tcW w:w="3022" w:type="dxa"/>
            <w:shd w:val="clear" w:color="auto" w:fill="EBF5EF"/>
          </w:tcPr>
          <w:p>
            <w:pPr>
              <w:spacing w:before="160" w:after="40"/>
              <w:ind w:left="144"/>
            </w:pPr>
            <w:r>
              <w:rPr>
                <w:b/>
                <w:color w:val="1E6B45"/>
                <w:sz w:val="15"/>
              </w:rPr>
              <w:t>PILLAR THREE</w:t>
            </w:r>
          </w:p>
          <w:p>
            <w:pPr>
              <w:spacing w:before="80" w:after="120"/>
              <w:ind w:left="144"/>
            </w:pPr>
            <w:r>
              <w:rPr>
                <w:b/>
                <w:color w:val="1E6B45"/>
                <w:sz w:val="24"/>
              </w:rPr>
              <w:t>Controlled Market Expansion</w:t>
            </w:r>
          </w:p>
          <w:p>
            <w:pPr>
              <w:spacing w:before="40" w:after="80"/>
              <w:ind w:left="144"/>
            </w:pPr>
            <w:r>
              <w:rPr>
                <w:color w:val="1A202C"/>
                <w:sz w:val="18"/>
              </w:rPr>
              <w:t>Fuel tankers and aviation refuellers remain the core. Mining fuel trucks are a natural adjacency — similar product, different compliance environment, different customer.</w:t>
            </w:r>
          </w:p>
          <w:p>
            <w:pPr>
              <w:spacing w:before="40" w:after="80"/>
              <w:ind w:left="144"/>
            </w:pPr>
            <w:r>
              <w:rPr>
                <w:color w:val="1A202C"/>
                <w:sz w:val="18"/>
              </w:rPr>
              <w:t>By 2027 we make a deliberate go / no-go decision on mining.</w:t>
            </w:r>
          </w:p>
          <w:p>
            <w:pPr>
              <w:spacing w:before="120" w:after="160"/>
              <w:ind w:left="144"/>
              <w:shd w:val="clear" w:color="auto" w:fill="C8EBD8"/>
            </w:pPr>
            <w:r>
              <w:rPr>
                <w:b/>
                <w:color w:val="1E6B45"/>
                <w:sz w:val="16"/>
              </w:rPr>
              <w:t xml:space="preserve">  Assessment FY27  →  Decision by mid-2027  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A"/>
          </w:tcPr>
          <w:p>
            <w:pPr>
              <w:spacing w:before="100" w:after="100"/>
              <w:ind w:left="144"/>
            </w:pPr>
            <w:r>
              <w:rPr>
                <w:b/>
                <w:color w:val="1B3557"/>
                <w:sz w:val="18"/>
              </w:rPr>
              <w:t>BY JUNE 2029 — CAN WE ANSWER YES TO ALL OF THESE?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W w:w="4536" w:type="dxa"/>
            <w:shd w:val="clear" w:color="auto" w:fill="FFFFFF"/>
          </w:tcPr>
          <w:p>
            <w:pPr>
              <w:spacing w:before="100" w:after="100"/>
              <w:ind w:left="144"/>
            </w:pPr>
            <w:r>
              <w:rPr>
                <w:b/>
                <w:color w:val="2E74B5"/>
                <w:sz w:val="20"/>
              </w:rPr>
              <w:t xml:space="preserve">?  </w:t>
            </w:r>
            <w:r>
              <w:rPr>
                <w:b w:val="0"/>
                <w:color w:val="1A202C"/>
                <w:sz w:val="18"/>
              </w:rPr>
              <w:t>Can we onboard a new $20M contract without the organisation straining?</w:t>
            </w:r>
          </w:p>
        </w:tc>
        <w:tc>
          <w:tcPr>
            <w:tcW w:type="dxa" w:w="4986"/>
            <w:tcW w:w="4536" w:type="dxa"/>
            <w:shd w:val="clear" w:color="auto" w:fill="FFFFFF"/>
          </w:tcPr>
          <w:p>
            <w:pPr>
              <w:spacing w:before="100" w:after="100"/>
              <w:ind w:left="144"/>
            </w:pPr>
            <w:r>
              <w:rPr>
                <w:b/>
                <w:color w:val="2E74B5"/>
                <w:sz w:val="20"/>
              </w:rPr>
              <w:t xml:space="preserve">?  </w:t>
            </w:r>
            <w:r>
              <w:rPr>
                <w:b w:val="0"/>
                <w:color w:val="1A202C"/>
                <w:sz w:val="18"/>
              </w:rPr>
              <w:t>Does our error rate stay flat when volume surges?</w:t>
            </w:r>
          </w:p>
        </w:tc>
      </w:tr>
      <w:tr>
        <w:tc>
          <w:tcPr>
            <w:tcW w:type="dxa" w:w="4986"/>
            <w:tcW w:w="4536" w:type="dxa"/>
            <w:shd w:val="clear" w:color="auto" w:fill="FFFFFF"/>
          </w:tcPr>
          <w:p>
            <w:pPr>
              <w:spacing w:before="100" w:after="100"/>
              <w:ind w:left="144"/>
            </w:pPr>
            <w:r>
              <w:rPr>
                <w:b/>
                <w:color w:val="2E74B5"/>
                <w:sz w:val="20"/>
              </w:rPr>
              <w:t xml:space="preserve">?  </w:t>
            </w:r>
            <w:r>
              <w:rPr>
                <w:b w:val="0"/>
                <w:color w:val="1A202C"/>
                <w:sz w:val="18"/>
              </w:rPr>
              <w:t>Does engineering accelerate the business rather than constrain it?</w:t>
            </w:r>
          </w:p>
        </w:tc>
        <w:tc>
          <w:tcPr>
            <w:tcW w:type="dxa" w:w="4986"/>
            <w:tcW w:w="4536" w:type="dxa"/>
            <w:shd w:val="clear" w:color="auto" w:fill="FFFFFF"/>
          </w:tcPr>
          <w:p>
            <w:pPr>
              <w:spacing w:before="100" w:after="100"/>
              <w:ind w:left="144"/>
            </w:pPr>
            <w:r>
              <w:rPr>
                <w:b/>
                <w:color w:val="2E74B5"/>
                <w:sz w:val="20"/>
              </w:rPr>
              <w:t xml:space="preserve">?  </w:t>
            </w:r>
            <w:r>
              <w:rPr>
                <w:b w:val="0"/>
                <w:color w:val="1A202C"/>
                <w:sz w:val="18"/>
              </w:rPr>
              <w:t>Do we have a repeatable process a new engineer can follow from day one?</w:t>
            </w:r>
          </w:p>
        </w:tc>
      </w:tr>
      <w:tr>
        <w:tc>
          <w:tcPr>
            <w:tcW w:type="dxa" w:w="4986"/>
            <w:tcW w:w="4536" w:type="dxa"/>
            <w:shd w:val="clear" w:color="auto" w:fill="FFFFFF"/>
          </w:tcPr>
          <w:p>
            <w:pPr>
              <w:spacing w:before="100" w:after="100"/>
              <w:ind w:left="144"/>
            </w:pPr>
            <w:r>
              <w:rPr>
                <w:b/>
                <w:color w:val="2E74B5"/>
                <w:sz w:val="20"/>
              </w:rPr>
              <w:t xml:space="preserve">?  </w:t>
            </w:r>
            <w:r>
              <w:rPr>
                <w:b w:val="0"/>
                <w:color w:val="1A202C"/>
                <w:sz w:val="18"/>
              </w:rPr>
              <w:t>Is our customer-discovered defect rate trending toward zero?</w:t>
            </w:r>
          </w:p>
        </w:tc>
        <w:tc>
          <w:tcPr>
            <w:tcW w:type="dxa" w:w="4986"/>
            <w:tcW w:w="4536" w:type="dxa"/>
            <w:shd w:val="clear" w:color="auto" w:fill="FFFFFF"/>
          </w:tcPr>
          <w:p>
            <w:pPr>
              <w:spacing w:before="100" w:after="100"/>
              <w:ind w:left="144"/>
            </w:pPr>
            <w:r>
              <w:rPr>
                <w:b/>
                <w:color w:val="2E74B5"/>
                <w:sz w:val="20"/>
              </w:rPr>
              <w:t xml:space="preserve">?  </w:t>
            </w:r>
            <w:r>
              <w:rPr>
                <w:b w:val="0"/>
                <w:color w:val="1A202C"/>
                <w:sz w:val="18"/>
              </w:rPr>
              <w:t>Are we a meaningful player in the mining fuel vehicle market?</w:t>
            </w:r>
          </w:p>
        </w:tc>
      </w:tr>
      <w:tr>
        <w:tc>
          <w:tcPr>
            <w:tcW w:type="dxa" w:w="4986"/>
            <w:tcW w:w="4536" w:type="dxa"/>
            <w:shd w:val="clear" w:color="auto" w:fill="FFFFFF"/>
          </w:tcPr>
          <w:p>
            <w:pPr>
              <w:spacing w:before="100" w:after="100"/>
              <w:ind w:left="144"/>
            </w:pPr>
            <w:r>
              <w:rPr>
                <w:b/>
                <w:color w:val="2E74B5"/>
                <w:sz w:val="20"/>
              </w:rPr>
              <w:t xml:space="preserve">?  </w:t>
            </w:r>
            <w:r>
              <w:rPr>
                <w:b w:val="0"/>
                <w:color w:val="1A202C"/>
                <w:sz w:val="18"/>
              </w:rPr>
              <w:t>Is throughput per head trending up year on year?</w:t>
            </w:r>
          </w:p>
        </w:tc>
        <w:tc>
          <w:tcPr>
            <w:tcW w:type="dxa" w:w="4986"/>
            <w:tcW w:w="4536" w:type="dxa"/>
            <w:shd w:val="clear" w:color="auto" w:fill="EBF5EF"/>
          </w:tcPr>
          <w:p>
            <w:pPr>
              <w:spacing w:before="100" w:after="100"/>
              <w:ind w:left="144"/>
            </w:pPr>
            <w:r>
              <w:rPr>
                <w:b/>
                <w:color w:val="1E6B45"/>
                <w:sz w:val="20"/>
              </w:rPr>
              <w:t xml:space="preserve">✓  </w:t>
            </w:r>
            <w:r>
              <w:rPr>
                <w:b/>
                <w:color w:val="1E6B45"/>
                <w:sz w:val="18"/>
              </w:rPr>
              <w:t>Is our culture still the foundation everything else is built on?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C000"/>
            <w:tcW w:w="1247" w:type="dxa"/>
          </w:tcPr>
          <w:p>
            <w:pPr>
              <w:spacing w:before="160" w:after="160"/>
              <w:jc w:val="center"/>
            </w:pPr>
            <w:r>
              <w:rPr>
                <w:b/>
                <w:color w:val="1B3557"/>
                <w:sz w:val="16"/>
              </w:rPr>
              <w:t>THE CONDITION</w:t>
            </w:r>
          </w:p>
        </w:tc>
        <w:tc>
          <w:tcPr>
            <w:tcW w:type="dxa" w:w="4986"/>
            <w:shd w:val="clear" w:color="auto" w:fill="1B3557"/>
            <w:tcW w:w="7824" w:type="dxa"/>
          </w:tcPr>
          <w:p>
            <w:pPr>
              <w:spacing w:before="160" w:after="160"/>
              <w:ind w:left="216"/>
            </w:pPr>
            <w:r>
              <w:rPr>
                <w:color w:val="CCCCCC"/>
                <w:sz w:val="19"/>
              </w:rPr>
              <w:t xml:space="preserve">$140–180M is achievable by 2029 — but </w:t>
            </w:r>
            <w:r>
              <w:rPr>
                <w:b/>
                <w:color w:val="FFC000"/>
                <w:sz w:val="19"/>
              </w:rPr>
              <w:t>only if First Pass Business is solved.</w:t>
            </w:r>
            <w:r>
              <w:rPr>
                <w:color w:val="CCCCCC"/>
                <w:sz w:val="19"/>
              </w:rPr>
              <w:t xml:space="preserve"> Rework at scale is a margin killer and a capacity thief. The revenue ambition and the engineering discipline are the same decision.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