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DB091" w14:textId="77777777" w:rsidR="00E71FFE" w:rsidRDefault="00E71FFE" w:rsidP="00E71FFE">
      <w:r>
        <w:t xml:space="preserve">15 Nov 2025 </w:t>
      </w:r>
    </w:p>
    <w:p w14:paraId="16AB84F8" w14:textId="77777777" w:rsidR="00E71FFE" w:rsidRDefault="00E71FFE" w:rsidP="00E71FFE"/>
    <w:p w14:paraId="4D18CCD9" w14:textId="77777777" w:rsidR="00E71FFE" w:rsidRPr="00EE597D" w:rsidRDefault="00E71FFE" w:rsidP="00E71FFE">
      <w:pPr>
        <w:jc w:val="center"/>
        <w:rPr>
          <w:b/>
          <w:bCs/>
        </w:rPr>
      </w:pPr>
      <w:r w:rsidRPr="00EE597D">
        <w:rPr>
          <w:b/>
          <w:bCs/>
        </w:rPr>
        <w:t xml:space="preserve">ES 7018 – Independent Study (II) </w:t>
      </w:r>
    </w:p>
    <w:p w14:paraId="4B7787DC" w14:textId="77777777" w:rsidR="00E71FFE" w:rsidRPr="00EE597D" w:rsidRDefault="00E71FFE" w:rsidP="00E71FFE">
      <w:pPr>
        <w:jc w:val="center"/>
        <w:rPr>
          <w:b/>
          <w:bCs/>
        </w:rPr>
      </w:pPr>
      <w:r w:rsidRPr="00EE597D">
        <w:rPr>
          <w:rFonts w:ascii="Aptos" w:hAnsi="Aptos"/>
          <w:b/>
          <w:bCs/>
          <w:color w:val="000000"/>
          <w:sz w:val="22"/>
          <w:szCs w:val="22"/>
        </w:rPr>
        <w:t> Spatial Processing and Analysis in R</w:t>
      </w:r>
    </w:p>
    <w:p w14:paraId="43A3D365" w14:textId="77777777" w:rsidR="00E71FFE" w:rsidRDefault="00E71FFE" w:rsidP="00E71FFE">
      <w:pPr>
        <w:jc w:val="center"/>
      </w:pPr>
    </w:p>
    <w:p w14:paraId="7EF1A6AD" w14:textId="77777777" w:rsidR="00E71FFE" w:rsidRDefault="00E71FFE" w:rsidP="00E71FFE">
      <w:pPr>
        <w:rPr>
          <w:lang w:val="en-SG"/>
        </w:rPr>
      </w:pPr>
      <w:r>
        <w:rPr>
          <w:lang w:val="en-SG"/>
        </w:rPr>
        <w:t xml:space="preserve">Graduate student: </w:t>
      </w:r>
      <w:r>
        <w:rPr>
          <w:lang w:val="en-SG"/>
        </w:rPr>
        <w:tab/>
      </w:r>
      <w:r>
        <w:rPr>
          <w:lang w:val="en-SG"/>
        </w:rPr>
        <w:tab/>
        <w:t>Geoff Lim</w:t>
      </w:r>
    </w:p>
    <w:p w14:paraId="179424A6" w14:textId="77777777" w:rsidR="00E71FFE" w:rsidRDefault="00E71FFE" w:rsidP="00E71FFE">
      <w:r>
        <w:rPr>
          <w:lang w:val="en-SG"/>
        </w:rPr>
        <w:t xml:space="preserve">Matriculation No: </w:t>
      </w:r>
      <w:r>
        <w:rPr>
          <w:lang w:val="en-SG"/>
        </w:rPr>
        <w:tab/>
      </w:r>
      <w:r>
        <w:rPr>
          <w:lang w:val="en-SG"/>
        </w:rPr>
        <w:tab/>
      </w:r>
      <w:r w:rsidRPr="00722DD7">
        <w:t>G2409151L</w:t>
      </w:r>
    </w:p>
    <w:p w14:paraId="294EBA11" w14:textId="77777777" w:rsidR="00E71FFE" w:rsidRPr="00EE597D" w:rsidRDefault="00E71FFE" w:rsidP="00E71FFE">
      <w:pPr>
        <w:ind w:left="2880" w:hanging="2880"/>
      </w:pPr>
      <w:r w:rsidRPr="00EE597D">
        <w:t>Title of Project:</w:t>
      </w:r>
      <w:r w:rsidRPr="00EE597D">
        <w:tab/>
      </w:r>
      <w:r w:rsidRPr="003A6CDD">
        <w:t>Geospatial Analysis of Forest Loss in PICOP, Bislig, an Important Bird Area (IBA) in Mindanao</w:t>
      </w:r>
    </w:p>
    <w:p w14:paraId="5127B283" w14:textId="77777777" w:rsidR="00F82259" w:rsidRPr="00E71FFE" w:rsidRDefault="00F82259">
      <w:pPr>
        <w:rPr>
          <w:rFonts w:asciiTheme="majorHAnsi" w:hAnsiTheme="majorHAnsi"/>
        </w:rPr>
      </w:pPr>
    </w:p>
    <w:p w14:paraId="34EE614D" w14:textId="75AB9595" w:rsidR="00E71FFE" w:rsidRPr="00E71FFE" w:rsidRDefault="00E71FFE" w:rsidP="00E71FFE">
      <w:pPr>
        <w:spacing w:before="100" w:beforeAutospacing="1" w:after="100" w:afterAutospacing="1"/>
        <w:jc w:val="left"/>
        <w:outlineLvl w:val="1"/>
        <w:rPr>
          <w:rFonts w:asciiTheme="majorHAnsi" w:eastAsia="Times New Roman" w:hAnsiTheme="majorHAnsi" w:cs="Times New Roman"/>
          <w:b/>
          <w:bCs/>
          <w:kern w:val="0"/>
          <w:sz w:val="36"/>
          <w:szCs w:val="36"/>
          <w14:ligatures w14:val="none"/>
        </w:rPr>
      </w:pPr>
      <w:r w:rsidRPr="00E71FFE">
        <w:rPr>
          <w:rFonts w:asciiTheme="majorHAnsi" w:eastAsia="Times New Roman" w:hAnsiTheme="majorHAnsi" w:cs="Times New Roman"/>
          <w:b/>
          <w:bCs/>
          <w:kern w:val="0"/>
          <w:sz w:val="36"/>
          <w:szCs w:val="36"/>
          <w14:ligatures w14:val="none"/>
        </w:rPr>
        <w:t>Introduction</w:t>
      </w:r>
    </w:p>
    <w:p w14:paraId="38179247"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 xml:space="preserve">The Philippines, a nation globally recognized as a hotspot of biodiversity, is simultaneously grappling with a severe deforestation crisis (Heaney and Regalado, 1998; Posa and Sodhi, 2006). Once extensively forested, the country's tree cover has been drastically reduced in recent decades, with current estimates at just 24.09% of the total land area (Forest Management Bureau, 2021; </w:t>
      </w:r>
      <w:proofErr w:type="spellStart"/>
      <w:r w:rsidRPr="00E71FFE">
        <w:rPr>
          <w:rFonts w:asciiTheme="majorHAnsi" w:eastAsia="Times New Roman" w:hAnsiTheme="majorHAnsi" w:cs="Times New Roman"/>
          <w:kern w:val="0"/>
          <w14:ligatures w14:val="none"/>
        </w:rPr>
        <w:t>Agduma</w:t>
      </w:r>
      <w:proofErr w:type="spellEnd"/>
      <w:r w:rsidRPr="00E71FFE">
        <w:rPr>
          <w:rFonts w:asciiTheme="majorHAnsi" w:eastAsia="Times New Roman" w:hAnsiTheme="majorHAnsi" w:cs="Times New Roman"/>
          <w:kern w:val="0"/>
          <w14:ligatures w14:val="none"/>
        </w:rPr>
        <w:t xml:space="preserve"> et al., 2023; Apan et al., 2017). The southern island of Mindanao, which constitutes 34% of the nation's landmass, harbors forests with a high degree of endemism, yet comprehensive biodiversity data for its unique fauna remains incomplete (</w:t>
      </w:r>
      <w:proofErr w:type="spellStart"/>
      <w:r w:rsidRPr="00E71FFE">
        <w:rPr>
          <w:rFonts w:asciiTheme="majorHAnsi" w:eastAsia="Times New Roman" w:hAnsiTheme="majorHAnsi" w:cs="Times New Roman"/>
          <w:kern w:val="0"/>
          <w14:ligatures w14:val="none"/>
        </w:rPr>
        <w:t>Agduma</w:t>
      </w:r>
      <w:proofErr w:type="spellEnd"/>
      <w:r w:rsidRPr="00E71FFE">
        <w:rPr>
          <w:rFonts w:asciiTheme="majorHAnsi" w:eastAsia="Times New Roman" w:hAnsiTheme="majorHAnsi" w:cs="Times New Roman"/>
          <w:kern w:val="0"/>
          <w14:ligatures w14:val="none"/>
        </w:rPr>
        <w:t xml:space="preserve"> et al., 2023). Deforestation in Mindanao is driven by multiple factors, including agricultural expansion through traditional </w:t>
      </w:r>
      <w:r w:rsidRPr="00E71FFE">
        <w:rPr>
          <w:rFonts w:asciiTheme="majorHAnsi" w:eastAsia="Times New Roman" w:hAnsiTheme="majorHAnsi" w:cs="Times New Roman"/>
          <w:i/>
          <w:iCs/>
          <w:kern w:val="0"/>
          <w14:ligatures w14:val="none"/>
        </w:rPr>
        <w:t>kaingin</w:t>
      </w:r>
      <w:r w:rsidRPr="00E71FFE">
        <w:rPr>
          <w:rFonts w:asciiTheme="majorHAnsi" w:eastAsia="Times New Roman" w:hAnsiTheme="majorHAnsi" w:cs="Times New Roman"/>
          <w:kern w:val="0"/>
          <w14:ligatures w14:val="none"/>
        </w:rPr>
        <w:t xml:space="preserve"> (shifting cultivation), the large-scale conversion of forests for cash crops, and the pervasive impacts of the mining and extraction industry (</w:t>
      </w:r>
      <w:proofErr w:type="spellStart"/>
      <w:r w:rsidRPr="00E71FFE">
        <w:rPr>
          <w:rFonts w:asciiTheme="majorHAnsi" w:eastAsia="Times New Roman" w:hAnsiTheme="majorHAnsi" w:cs="Times New Roman"/>
          <w:kern w:val="0"/>
          <w14:ligatures w14:val="none"/>
        </w:rPr>
        <w:t>Agduma</w:t>
      </w:r>
      <w:proofErr w:type="spellEnd"/>
      <w:r w:rsidRPr="00E71FFE">
        <w:rPr>
          <w:rFonts w:asciiTheme="majorHAnsi" w:eastAsia="Times New Roman" w:hAnsiTheme="majorHAnsi" w:cs="Times New Roman"/>
          <w:kern w:val="0"/>
          <w14:ligatures w14:val="none"/>
        </w:rPr>
        <w:t xml:space="preserve"> et al., 2023; </w:t>
      </w:r>
      <w:proofErr w:type="spellStart"/>
      <w:r w:rsidRPr="00E71FFE">
        <w:rPr>
          <w:rFonts w:asciiTheme="majorHAnsi" w:eastAsia="Times New Roman" w:hAnsiTheme="majorHAnsi" w:cs="Times New Roman"/>
          <w:kern w:val="0"/>
          <w14:ligatures w14:val="none"/>
        </w:rPr>
        <w:t>Recuenco</w:t>
      </w:r>
      <w:proofErr w:type="spellEnd"/>
      <w:r w:rsidRPr="00E71FFE">
        <w:rPr>
          <w:rFonts w:asciiTheme="majorHAnsi" w:eastAsia="Times New Roman" w:hAnsiTheme="majorHAnsi" w:cs="Times New Roman"/>
          <w:kern w:val="0"/>
          <w14:ligatures w14:val="none"/>
        </w:rPr>
        <w:t>, 2022; Apan et al., 2017).</w:t>
      </w:r>
    </w:p>
    <w:p w14:paraId="7B537652"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 xml:space="preserve">The national strategy of establishing Protected Areas (PAs) to safeguard pristine forests has proven to be only marginally effective in curbing this decline. A nationwide study from 2000 to 2012 revealed a forest loss rate of 2.59% within these protected zones, a figure negligibly lower than the national average of 2.69% (Apan et al., 2017). This indicates that the PA system has not been a panacea for deforestation. This systemic failure is starkly illustrated by the case of the former Paper Industries Corporation of the Philippines (PICOP) concession near Bislig, Mindanao. Following the corporation's decline, a power vacuum emerged, leaving the forest as a "free-for-all for informal settlers, illegal loggers, [and] poachers" (Malonzo &amp; </w:t>
      </w:r>
      <w:proofErr w:type="spellStart"/>
      <w:r w:rsidRPr="00E71FFE">
        <w:rPr>
          <w:rFonts w:asciiTheme="majorHAnsi" w:eastAsia="Times New Roman" w:hAnsiTheme="majorHAnsi" w:cs="Times New Roman"/>
          <w:kern w:val="0"/>
          <w14:ligatures w14:val="none"/>
        </w:rPr>
        <w:t>Orodio</w:t>
      </w:r>
      <w:proofErr w:type="spellEnd"/>
      <w:r w:rsidRPr="00E71FFE">
        <w:rPr>
          <w:rFonts w:asciiTheme="majorHAnsi" w:eastAsia="Times New Roman" w:hAnsiTheme="majorHAnsi" w:cs="Times New Roman"/>
          <w:kern w:val="0"/>
          <w14:ligatures w14:val="none"/>
        </w:rPr>
        <w:t>, 2025). The situation has become so dire that individuals with chainsaws are observed operating openly in the area (pers. obs.; Robson, 2023).</w:t>
      </w:r>
    </w:p>
    <w:p w14:paraId="67F16F0A" w14:textId="77777777" w:rsid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Despite this history of logging and extensive degradation, the PICOP landscape—a mosaic of remnant primary forest, secondary growth, and forest edge—paradoxically persists as a site of immense ecological importance. Officially designated as a Key Biodiversity Area (KBA) of international significance, PICOP is one of the premier locations for observing Mindanao's rare lowland forest birds (</w:t>
      </w:r>
      <w:proofErr w:type="spellStart"/>
      <w:r w:rsidRPr="00E71FFE">
        <w:rPr>
          <w:rFonts w:asciiTheme="majorHAnsi" w:eastAsia="Times New Roman" w:hAnsiTheme="majorHAnsi" w:cs="Times New Roman"/>
          <w:kern w:val="0"/>
          <w14:ligatures w14:val="none"/>
        </w:rPr>
        <w:t>BirdLife</w:t>
      </w:r>
      <w:proofErr w:type="spellEnd"/>
      <w:r w:rsidRPr="00E71FFE">
        <w:rPr>
          <w:rFonts w:asciiTheme="majorHAnsi" w:eastAsia="Times New Roman" w:hAnsiTheme="majorHAnsi" w:cs="Times New Roman"/>
          <w:kern w:val="0"/>
          <w14:ligatures w14:val="none"/>
        </w:rPr>
        <w:t xml:space="preserve"> International, 2025; Yong and Low, 2018). Birdwatchers are drawn to the area for its populations of threatened and iconic species, including the Celestial Monarch, Azure-breasted Pitta, Southern Silvery Kingfisher, and various endemic hornbills (Malonzo &amp; </w:t>
      </w:r>
      <w:proofErr w:type="spellStart"/>
      <w:r w:rsidRPr="00E71FFE">
        <w:rPr>
          <w:rFonts w:asciiTheme="majorHAnsi" w:eastAsia="Times New Roman" w:hAnsiTheme="majorHAnsi" w:cs="Times New Roman"/>
          <w:kern w:val="0"/>
          <w14:ligatures w14:val="none"/>
        </w:rPr>
        <w:lastRenderedPageBreak/>
        <w:t>Orodio</w:t>
      </w:r>
      <w:proofErr w:type="spellEnd"/>
      <w:r w:rsidRPr="00E71FFE">
        <w:rPr>
          <w:rFonts w:asciiTheme="majorHAnsi" w:eastAsia="Times New Roman" w:hAnsiTheme="majorHAnsi" w:cs="Times New Roman"/>
          <w:kern w:val="0"/>
          <w14:ligatures w14:val="none"/>
        </w:rPr>
        <w:t>, 2025; Robson, 2023). This highlights PICOP's critical role as a "</w:t>
      </w:r>
      <w:proofErr w:type="gramStart"/>
      <w:r w:rsidRPr="00E71FFE">
        <w:rPr>
          <w:rFonts w:asciiTheme="majorHAnsi" w:eastAsia="Times New Roman" w:hAnsiTheme="majorHAnsi" w:cs="Times New Roman"/>
          <w:kern w:val="0"/>
          <w14:ligatures w14:val="none"/>
        </w:rPr>
        <w:t>last-stand</w:t>
      </w:r>
      <w:proofErr w:type="gramEnd"/>
      <w:r w:rsidRPr="00E71FFE">
        <w:rPr>
          <w:rFonts w:asciiTheme="majorHAnsi" w:eastAsia="Times New Roman" w:hAnsiTheme="majorHAnsi" w:cs="Times New Roman"/>
          <w:kern w:val="0"/>
          <w14:ligatures w14:val="none"/>
        </w:rPr>
        <w:t xml:space="preserve">" refuge for endemic species in a disturbed landscape (Tabora et al., 2023; Zapanta et al., 2019). </w:t>
      </w:r>
    </w:p>
    <w:p w14:paraId="4BEF2166" w14:textId="3408F6AD"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Furthermore, birding tourism offers a substantial economic alternative to destructive practices, with visitor expenditures estimated at USD 331 per day (</w:t>
      </w:r>
      <w:proofErr w:type="spellStart"/>
      <w:r w:rsidRPr="00E71FFE">
        <w:rPr>
          <w:rFonts w:asciiTheme="majorHAnsi" w:eastAsia="Times New Roman" w:hAnsiTheme="majorHAnsi" w:cs="Times New Roman"/>
          <w:kern w:val="0"/>
          <w14:ligatures w14:val="none"/>
        </w:rPr>
        <w:t>Birdtour</w:t>
      </w:r>
      <w:proofErr w:type="spellEnd"/>
      <w:r w:rsidRPr="00E71FFE">
        <w:rPr>
          <w:rFonts w:asciiTheme="majorHAnsi" w:eastAsia="Times New Roman" w:hAnsiTheme="majorHAnsi" w:cs="Times New Roman"/>
          <w:kern w:val="0"/>
          <w14:ligatures w14:val="none"/>
        </w:rPr>
        <w:t xml:space="preserve"> Asia, 2025). To foster effective management, a shift toward site-specific assessment is needed to protect such complex landscapes before their biodiversity is lost (</w:t>
      </w:r>
      <w:proofErr w:type="spellStart"/>
      <w:r w:rsidRPr="00E71FFE">
        <w:rPr>
          <w:rFonts w:asciiTheme="majorHAnsi" w:eastAsia="Times New Roman" w:hAnsiTheme="majorHAnsi" w:cs="Times New Roman"/>
          <w:kern w:val="0"/>
          <w14:ligatures w14:val="none"/>
        </w:rPr>
        <w:t>Agduma</w:t>
      </w:r>
      <w:proofErr w:type="spellEnd"/>
      <w:r w:rsidRPr="00E71FFE">
        <w:rPr>
          <w:rFonts w:asciiTheme="majorHAnsi" w:eastAsia="Times New Roman" w:hAnsiTheme="majorHAnsi" w:cs="Times New Roman"/>
          <w:kern w:val="0"/>
          <w14:ligatures w14:val="none"/>
        </w:rPr>
        <w:t xml:space="preserve"> et al., 2023; Tabora et al., 2023; Apan et al., 2017). Therefore, the objective of this study is to quantify the rate of forest loss in PICOP using geospatial methodologies, comparing current remote sensing data with a historical baseline to underscore the urgent need for its protection.</w:t>
      </w:r>
    </w:p>
    <w:p w14:paraId="2FE11867" w14:textId="52967EFF" w:rsidR="00E71FFE" w:rsidRPr="00E71FFE" w:rsidRDefault="00E71FFE" w:rsidP="00E71FFE">
      <w:pPr>
        <w:spacing w:before="100" w:beforeAutospacing="1" w:after="100" w:afterAutospacing="1"/>
        <w:jc w:val="left"/>
        <w:outlineLvl w:val="1"/>
        <w:rPr>
          <w:rFonts w:asciiTheme="majorHAnsi" w:eastAsia="Times New Roman" w:hAnsiTheme="majorHAnsi" w:cs="Times New Roman"/>
          <w:b/>
          <w:bCs/>
          <w:kern w:val="0"/>
          <w:sz w:val="36"/>
          <w:szCs w:val="36"/>
          <w14:ligatures w14:val="none"/>
        </w:rPr>
      </w:pPr>
      <w:r w:rsidRPr="00E71FFE">
        <w:rPr>
          <w:rFonts w:asciiTheme="majorHAnsi" w:eastAsia="Times New Roman" w:hAnsiTheme="majorHAnsi" w:cs="Times New Roman"/>
          <w:b/>
          <w:bCs/>
          <w:kern w:val="0"/>
          <w:sz w:val="36"/>
          <w:szCs w:val="36"/>
          <w14:ligatures w14:val="none"/>
        </w:rPr>
        <w:t>Methods</w:t>
      </w:r>
    </w:p>
    <w:p w14:paraId="6971F2CB" w14:textId="7292DEDD" w:rsidR="00E71FFE" w:rsidRPr="00E71FFE" w:rsidRDefault="00E71FFE" w:rsidP="00E71FFE">
      <w:pPr>
        <w:spacing w:before="100" w:beforeAutospacing="1" w:after="100" w:afterAutospacing="1"/>
        <w:jc w:val="left"/>
        <w:outlineLvl w:val="2"/>
        <w:rPr>
          <w:rFonts w:asciiTheme="majorHAnsi" w:eastAsia="Times New Roman" w:hAnsiTheme="majorHAnsi" w:cs="Times New Roman"/>
          <w:b/>
          <w:bCs/>
          <w:kern w:val="0"/>
          <w:sz w:val="27"/>
          <w:szCs w:val="27"/>
          <w14:ligatures w14:val="none"/>
        </w:rPr>
      </w:pPr>
      <w:r w:rsidRPr="00E71FFE">
        <w:rPr>
          <w:rFonts w:asciiTheme="majorHAnsi" w:eastAsia="Times New Roman" w:hAnsiTheme="majorHAnsi" w:cs="Times New Roman"/>
          <w:b/>
          <w:bCs/>
          <w:kern w:val="0"/>
          <w:sz w:val="27"/>
          <w:szCs w:val="27"/>
          <w14:ligatures w14:val="none"/>
        </w:rPr>
        <w:t>Study Area and Data Acquisition</w:t>
      </w:r>
    </w:p>
    <w:p w14:paraId="537C4B9C"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 xml:space="preserve">This study utilized satellite remote sensing data to quantify environmental change within the Bislig Key Biodiversity Area (KBA) in Mindanao, Philippines, a region of high conservation priority. The study area boundary was defined using the </w:t>
      </w:r>
      <w:proofErr w:type="spellStart"/>
      <w:r w:rsidRPr="00E71FFE">
        <w:rPr>
          <w:rFonts w:asciiTheme="majorHAnsi" w:eastAsia="Times New Roman" w:hAnsiTheme="majorHAnsi" w:cs="Courier New"/>
          <w:kern w:val="0"/>
          <w:sz w:val="20"/>
          <w:szCs w:val="20"/>
          <w14:ligatures w14:val="none"/>
        </w:rPr>
        <w:t>Philippines_KBA.shp</w:t>
      </w:r>
      <w:proofErr w:type="spellEnd"/>
      <w:r w:rsidRPr="00E71FFE">
        <w:rPr>
          <w:rFonts w:asciiTheme="majorHAnsi" w:eastAsia="Times New Roman" w:hAnsiTheme="majorHAnsi" w:cs="Times New Roman"/>
          <w:kern w:val="0"/>
          <w14:ligatures w14:val="none"/>
        </w:rPr>
        <w:t xml:space="preserve"> shapefile, which delineates globally significant sites identified by </w:t>
      </w:r>
      <w:proofErr w:type="spellStart"/>
      <w:r w:rsidRPr="00E71FFE">
        <w:rPr>
          <w:rFonts w:asciiTheme="majorHAnsi" w:eastAsia="Times New Roman" w:hAnsiTheme="majorHAnsi" w:cs="Times New Roman"/>
          <w:kern w:val="0"/>
          <w14:ligatures w14:val="none"/>
        </w:rPr>
        <w:t>BirdLife</w:t>
      </w:r>
      <w:proofErr w:type="spellEnd"/>
      <w:r w:rsidRPr="00E71FFE">
        <w:rPr>
          <w:rFonts w:asciiTheme="majorHAnsi" w:eastAsia="Times New Roman" w:hAnsiTheme="majorHAnsi" w:cs="Times New Roman"/>
          <w:kern w:val="0"/>
          <w14:ligatures w14:val="none"/>
        </w:rPr>
        <w:t xml:space="preserve"> International and its partners (</w:t>
      </w:r>
      <w:proofErr w:type="spellStart"/>
      <w:r w:rsidRPr="00E71FFE">
        <w:rPr>
          <w:rFonts w:asciiTheme="majorHAnsi" w:eastAsia="Times New Roman" w:hAnsiTheme="majorHAnsi" w:cs="Times New Roman"/>
          <w:kern w:val="0"/>
          <w14:ligatures w14:val="none"/>
        </w:rPr>
        <w:t>BirdLife</w:t>
      </w:r>
      <w:proofErr w:type="spellEnd"/>
      <w:r w:rsidRPr="00E71FFE">
        <w:rPr>
          <w:rFonts w:asciiTheme="majorHAnsi" w:eastAsia="Times New Roman" w:hAnsiTheme="majorHAnsi" w:cs="Times New Roman"/>
          <w:kern w:val="0"/>
          <w14:ligatures w14:val="none"/>
        </w:rPr>
        <w:t xml:space="preserve"> International, 2025). All analyses were constrained to an Area of Interest (AOI) defined by the following bounding box coordinates: </w:t>
      </w:r>
      <w:proofErr w:type="spellStart"/>
      <w:r w:rsidRPr="00E71FFE">
        <w:rPr>
          <w:rFonts w:asciiTheme="majorHAnsi" w:eastAsia="Times New Roman" w:hAnsiTheme="majorHAnsi" w:cs="Times New Roman"/>
          <w:kern w:val="0"/>
          <w14:ligatures w14:val="none"/>
        </w:rPr>
        <w:t>xmin</w:t>
      </w:r>
      <w:proofErr w:type="spellEnd"/>
      <w:r w:rsidRPr="00E71FFE">
        <w:rPr>
          <w:rFonts w:asciiTheme="majorHAnsi" w:eastAsia="Times New Roman" w:hAnsiTheme="majorHAnsi" w:cs="Times New Roman"/>
          <w:kern w:val="0"/>
          <w14:ligatures w14:val="none"/>
        </w:rPr>
        <w:t xml:space="preserve">: 125.9641, </w:t>
      </w:r>
      <w:proofErr w:type="spellStart"/>
      <w:r w:rsidRPr="00E71FFE">
        <w:rPr>
          <w:rFonts w:asciiTheme="majorHAnsi" w:eastAsia="Times New Roman" w:hAnsiTheme="majorHAnsi" w:cs="Times New Roman"/>
          <w:kern w:val="0"/>
          <w14:ligatures w14:val="none"/>
        </w:rPr>
        <w:t>ymin</w:t>
      </w:r>
      <w:proofErr w:type="spellEnd"/>
      <w:r w:rsidRPr="00E71FFE">
        <w:rPr>
          <w:rFonts w:asciiTheme="majorHAnsi" w:eastAsia="Times New Roman" w:hAnsiTheme="majorHAnsi" w:cs="Times New Roman"/>
          <w:kern w:val="0"/>
          <w14:ligatures w14:val="none"/>
        </w:rPr>
        <w:t xml:space="preserve">: 7.8266, </w:t>
      </w:r>
      <w:proofErr w:type="spellStart"/>
      <w:r w:rsidRPr="00E71FFE">
        <w:rPr>
          <w:rFonts w:asciiTheme="majorHAnsi" w:eastAsia="Times New Roman" w:hAnsiTheme="majorHAnsi" w:cs="Times New Roman"/>
          <w:kern w:val="0"/>
          <w14:ligatures w14:val="none"/>
        </w:rPr>
        <w:t>xmax</w:t>
      </w:r>
      <w:proofErr w:type="spellEnd"/>
      <w:r w:rsidRPr="00E71FFE">
        <w:rPr>
          <w:rFonts w:asciiTheme="majorHAnsi" w:eastAsia="Times New Roman" w:hAnsiTheme="majorHAnsi" w:cs="Times New Roman"/>
          <w:kern w:val="0"/>
          <w14:ligatures w14:val="none"/>
        </w:rPr>
        <w:t xml:space="preserve">: 126.4167, and </w:t>
      </w:r>
      <w:proofErr w:type="spellStart"/>
      <w:r w:rsidRPr="00E71FFE">
        <w:rPr>
          <w:rFonts w:asciiTheme="majorHAnsi" w:eastAsia="Times New Roman" w:hAnsiTheme="majorHAnsi" w:cs="Times New Roman"/>
          <w:kern w:val="0"/>
          <w14:ligatures w14:val="none"/>
        </w:rPr>
        <w:t>ymax</w:t>
      </w:r>
      <w:proofErr w:type="spellEnd"/>
      <w:r w:rsidRPr="00E71FFE">
        <w:rPr>
          <w:rFonts w:asciiTheme="majorHAnsi" w:eastAsia="Times New Roman" w:hAnsiTheme="majorHAnsi" w:cs="Times New Roman"/>
          <w:kern w:val="0"/>
          <w14:ligatures w14:val="none"/>
        </w:rPr>
        <w:t>: 8.4938.</w:t>
      </w:r>
    </w:p>
    <w:p w14:paraId="626D6ECB"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The primary dataset consisted of Copernicus Sentinel-2 Level-2A products (European Space Agency, 2025). To facilitate the change detection analysis, imagery from two distinct time points was acquired: a baseline scene from 2016 (ID: T51PZK_20160721T021352) and a comparison scene from 2025 (ID: T51PZK_20250902T021231). The analysis specifically used the Red (Band 4) and Near-Infrared (NIR, Band 8) spectral bands from each scene, both of which have a 10-meter spatial resolution.</w:t>
      </w:r>
    </w:p>
    <w:p w14:paraId="1B405AC2" w14:textId="077CC983" w:rsidR="00E71FFE" w:rsidRPr="00E71FFE" w:rsidRDefault="00E71FFE" w:rsidP="00E71FFE">
      <w:pPr>
        <w:spacing w:before="100" w:beforeAutospacing="1" w:after="100" w:afterAutospacing="1"/>
        <w:jc w:val="left"/>
        <w:outlineLvl w:val="2"/>
        <w:rPr>
          <w:rFonts w:asciiTheme="majorHAnsi" w:eastAsia="Times New Roman" w:hAnsiTheme="majorHAnsi" w:cs="Times New Roman"/>
          <w:b/>
          <w:bCs/>
          <w:kern w:val="0"/>
          <w:sz w:val="27"/>
          <w:szCs w:val="27"/>
          <w14:ligatures w14:val="none"/>
        </w:rPr>
      </w:pPr>
      <w:r w:rsidRPr="00E71FFE">
        <w:rPr>
          <w:rFonts w:asciiTheme="majorHAnsi" w:eastAsia="Times New Roman" w:hAnsiTheme="majorHAnsi" w:cs="Times New Roman"/>
          <w:b/>
          <w:bCs/>
          <w:kern w:val="0"/>
          <w:sz w:val="27"/>
          <w:szCs w:val="27"/>
          <w14:ligatures w14:val="none"/>
        </w:rPr>
        <w:t>Data Preprocessing and Vegetation Index Calculation</w:t>
      </w:r>
    </w:p>
    <w:p w14:paraId="0EE6855E"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To ensure a valid temporal comparison, the raw satellite imagery underwent preprocessing for spatial co-registration and radiometric normalization. The first step was the calculation of the Normalized Difference Vegetation Index (NDVI) for both the 2016 and 2025 datasets. This index serves as a quantitative measure of vegetation health and was computed using the standard formula:</w:t>
      </w:r>
    </w:p>
    <w:p w14:paraId="3C97262A"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sz w:val="40"/>
          <w:szCs w:val="40"/>
          <w14:ligatures w14:val="none"/>
        </w:rPr>
      </w:pPr>
      <w:r w:rsidRPr="00E71FFE">
        <w:rPr>
          <w:rFonts w:asciiTheme="majorHAnsi" w:eastAsia="Times New Roman" w:hAnsiTheme="majorHAnsi" w:cs="Courier New"/>
          <w:kern w:val="0"/>
          <w:sz w:val="28"/>
          <w:szCs w:val="28"/>
          <w14:ligatures w14:val="none"/>
        </w:rPr>
        <w:t>NDVI = (NIR - Red) / (NIR + Red)</w:t>
      </w:r>
    </w:p>
    <w:p w14:paraId="0D9FE9E2"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 xml:space="preserve">Following this calculation, the resulting NDVI </w:t>
      </w:r>
      <w:proofErr w:type="spellStart"/>
      <w:r w:rsidRPr="00E71FFE">
        <w:rPr>
          <w:rFonts w:asciiTheme="majorHAnsi" w:eastAsia="Times New Roman" w:hAnsiTheme="majorHAnsi" w:cs="Times New Roman"/>
          <w:kern w:val="0"/>
          <w14:ligatures w14:val="none"/>
        </w:rPr>
        <w:t>rasters</w:t>
      </w:r>
      <w:proofErr w:type="spellEnd"/>
      <w:r w:rsidRPr="00E71FFE">
        <w:rPr>
          <w:rFonts w:asciiTheme="majorHAnsi" w:eastAsia="Times New Roman" w:hAnsiTheme="majorHAnsi" w:cs="Times New Roman"/>
          <w:kern w:val="0"/>
          <w14:ligatures w14:val="none"/>
        </w:rPr>
        <w:t xml:space="preserve"> were aligned. To ensure a congruent pixel grid, the 2025 NDVI raster was resampled to match the spatial grid of the 2016 raster. Subsequently, both NDVI </w:t>
      </w:r>
      <w:proofErr w:type="spellStart"/>
      <w:r w:rsidRPr="00E71FFE">
        <w:rPr>
          <w:rFonts w:asciiTheme="majorHAnsi" w:eastAsia="Times New Roman" w:hAnsiTheme="majorHAnsi" w:cs="Times New Roman"/>
          <w:kern w:val="0"/>
          <w14:ligatures w14:val="none"/>
        </w:rPr>
        <w:t>rasters</w:t>
      </w:r>
      <w:proofErr w:type="spellEnd"/>
      <w:r w:rsidRPr="00E71FFE">
        <w:rPr>
          <w:rFonts w:asciiTheme="majorHAnsi" w:eastAsia="Times New Roman" w:hAnsiTheme="majorHAnsi" w:cs="Times New Roman"/>
          <w:kern w:val="0"/>
          <w14:ligatures w14:val="none"/>
        </w:rPr>
        <w:t xml:space="preserve"> were cropped to the precise spatial extent of the study area's bounding box.</w:t>
      </w:r>
    </w:p>
    <w:p w14:paraId="4ADC47A9" w14:textId="397DD796" w:rsidR="00E71FFE" w:rsidRPr="00E71FFE" w:rsidRDefault="00E71FFE" w:rsidP="00E71FFE">
      <w:pPr>
        <w:spacing w:before="100" w:beforeAutospacing="1" w:after="100" w:afterAutospacing="1"/>
        <w:jc w:val="left"/>
        <w:outlineLvl w:val="2"/>
        <w:rPr>
          <w:rFonts w:asciiTheme="majorHAnsi" w:eastAsia="Times New Roman" w:hAnsiTheme="majorHAnsi" w:cs="Times New Roman"/>
          <w:b/>
          <w:bCs/>
          <w:kern w:val="0"/>
          <w:sz w:val="27"/>
          <w:szCs w:val="27"/>
          <w14:ligatures w14:val="none"/>
        </w:rPr>
      </w:pPr>
      <w:r w:rsidRPr="00E71FFE">
        <w:rPr>
          <w:rFonts w:asciiTheme="majorHAnsi" w:eastAsia="Times New Roman" w:hAnsiTheme="majorHAnsi" w:cs="Times New Roman"/>
          <w:b/>
          <w:bCs/>
          <w:kern w:val="0"/>
          <w:sz w:val="27"/>
          <w:szCs w:val="27"/>
          <w14:ligatures w14:val="none"/>
        </w:rPr>
        <w:lastRenderedPageBreak/>
        <w:t>Forest Cover Change Analysis</w:t>
      </w:r>
    </w:p>
    <w:p w14:paraId="7FB5FFF3"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 xml:space="preserve">The primary analysis aimed to define forest versus non-forest cover and quantify the change between 2016 and 2025 using a baseline threshold of </w:t>
      </w:r>
      <w:r w:rsidRPr="00E71FFE">
        <w:rPr>
          <w:rFonts w:asciiTheme="majorHAnsi" w:eastAsia="Times New Roman" w:hAnsiTheme="majorHAnsi" w:cs="Times New Roman"/>
          <w:b/>
          <w:bCs/>
          <w:kern w:val="0"/>
          <w14:ligatures w14:val="none"/>
        </w:rPr>
        <w:t>NDVI &gt; 0.6</w:t>
      </w:r>
      <w:r w:rsidRPr="00E71FFE">
        <w:rPr>
          <w:rFonts w:asciiTheme="majorHAnsi" w:eastAsia="Times New Roman" w:hAnsiTheme="majorHAnsi" w:cs="Times New Roman"/>
          <w:kern w:val="0"/>
          <w14:ligatures w14:val="none"/>
        </w:rPr>
        <w:t xml:space="preserve"> to classify forest pixels. "Forest loss" was defined as any pixel classified as forest in 2016 that was reclassified as non-forest in 2025. The total area of forest loss was calculated by summing the number of these converted pixels and multiplying by the area of a single pixel (0.01 hectares). To test the robustness of this definition, a sensitivity analysis was also conducted across a range of thresholds from 0.60 to 0.79.</w:t>
      </w:r>
    </w:p>
    <w:p w14:paraId="0428FA27" w14:textId="2BC4672A" w:rsidR="00E71FFE" w:rsidRPr="00E71FFE" w:rsidRDefault="00E71FFE" w:rsidP="00E71FFE">
      <w:pPr>
        <w:spacing w:before="100" w:beforeAutospacing="1" w:after="100" w:afterAutospacing="1"/>
        <w:jc w:val="left"/>
        <w:outlineLvl w:val="2"/>
        <w:rPr>
          <w:rFonts w:asciiTheme="majorHAnsi" w:eastAsia="Times New Roman" w:hAnsiTheme="majorHAnsi" w:cs="Times New Roman"/>
          <w:b/>
          <w:bCs/>
          <w:kern w:val="0"/>
          <w:sz w:val="27"/>
          <w:szCs w:val="27"/>
          <w14:ligatures w14:val="none"/>
        </w:rPr>
      </w:pPr>
      <w:r w:rsidRPr="00E71FFE">
        <w:rPr>
          <w:rFonts w:asciiTheme="majorHAnsi" w:eastAsia="Times New Roman" w:hAnsiTheme="majorHAnsi" w:cs="Times New Roman"/>
          <w:b/>
          <w:bCs/>
          <w:kern w:val="0"/>
          <w:sz w:val="27"/>
          <w:szCs w:val="27"/>
          <w14:ligatures w14:val="none"/>
        </w:rPr>
        <w:t>Computational Environment</w:t>
      </w:r>
    </w:p>
    <w:p w14:paraId="33115ACC"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 xml:space="preserve">All data processing and analysis were performed in R version 4.5.1 (2025-06-13) using the RStudio environment. A suite of specialized R packages facilitated the geospatial operations. The </w:t>
      </w:r>
      <w:r w:rsidRPr="00E71FFE">
        <w:rPr>
          <w:rFonts w:asciiTheme="majorHAnsi" w:eastAsia="Times New Roman" w:hAnsiTheme="majorHAnsi" w:cs="Courier New"/>
          <w:kern w:val="0"/>
          <w:sz w:val="20"/>
          <w:szCs w:val="20"/>
          <w14:ligatures w14:val="none"/>
        </w:rPr>
        <w:t>terra</w:t>
      </w:r>
      <w:r w:rsidRPr="00E71FFE">
        <w:rPr>
          <w:rFonts w:asciiTheme="majorHAnsi" w:eastAsia="Times New Roman" w:hAnsiTheme="majorHAnsi" w:cs="Times New Roman"/>
          <w:kern w:val="0"/>
          <w14:ligatures w14:val="none"/>
        </w:rPr>
        <w:t xml:space="preserve"> package (version 1.8.60) was used for all raster data manipulations, including NDVI calculation, resampling, and classification. Vector data, such as the KBA shapefile, were handled with the </w:t>
      </w:r>
      <w:r w:rsidRPr="00E71FFE">
        <w:rPr>
          <w:rFonts w:asciiTheme="majorHAnsi" w:eastAsia="Times New Roman" w:hAnsiTheme="majorHAnsi" w:cs="Courier New"/>
          <w:kern w:val="0"/>
          <w:sz w:val="20"/>
          <w:szCs w:val="20"/>
          <w14:ligatures w14:val="none"/>
        </w:rPr>
        <w:t>sf</w:t>
      </w:r>
      <w:r w:rsidRPr="00E71FFE">
        <w:rPr>
          <w:rFonts w:asciiTheme="majorHAnsi" w:eastAsia="Times New Roman" w:hAnsiTheme="majorHAnsi" w:cs="Times New Roman"/>
          <w:kern w:val="0"/>
          <w14:ligatures w14:val="none"/>
        </w:rPr>
        <w:t xml:space="preserve"> package. Data summarization was performed with the </w:t>
      </w:r>
      <w:proofErr w:type="spellStart"/>
      <w:r w:rsidRPr="00E71FFE">
        <w:rPr>
          <w:rFonts w:asciiTheme="majorHAnsi" w:eastAsia="Times New Roman" w:hAnsiTheme="majorHAnsi" w:cs="Courier New"/>
          <w:kern w:val="0"/>
          <w:sz w:val="20"/>
          <w:szCs w:val="20"/>
          <w14:ligatures w14:val="none"/>
        </w:rPr>
        <w:t>dplyr</w:t>
      </w:r>
      <w:proofErr w:type="spellEnd"/>
      <w:r w:rsidRPr="00E71FFE">
        <w:rPr>
          <w:rFonts w:asciiTheme="majorHAnsi" w:eastAsia="Times New Roman" w:hAnsiTheme="majorHAnsi" w:cs="Times New Roman"/>
          <w:kern w:val="0"/>
          <w14:ligatures w14:val="none"/>
        </w:rPr>
        <w:t xml:space="preserve"> package, and visualizations for the sensitivity analysis were created using </w:t>
      </w:r>
      <w:r w:rsidRPr="00E71FFE">
        <w:rPr>
          <w:rFonts w:asciiTheme="majorHAnsi" w:eastAsia="Times New Roman" w:hAnsiTheme="majorHAnsi" w:cs="Courier New"/>
          <w:kern w:val="0"/>
          <w:sz w:val="20"/>
          <w:szCs w:val="20"/>
          <w14:ligatures w14:val="none"/>
        </w:rPr>
        <w:t>ggplot2</w:t>
      </w:r>
      <w:r w:rsidRPr="00E71FFE">
        <w:rPr>
          <w:rFonts w:asciiTheme="majorHAnsi" w:eastAsia="Times New Roman" w:hAnsiTheme="majorHAnsi" w:cs="Times New Roman"/>
          <w:kern w:val="0"/>
          <w14:ligatures w14:val="none"/>
        </w:rPr>
        <w:t>. The analytical workflow was linked to the core geospatial libraries GEOS (3.13.0), GDAL (3.8.5), and PROJ (9.5.1) to ensure reproducibility.</w:t>
      </w:r>
    </w:p>
    <w:p w14:paraId="3BD51987" w14:textId="28B68FA6" w:rsidR="00E71FFE" w:rsidRPr="00E71FFE" w:rsidRDefault="00E71FFE" w:rsidP="00E71FFE">
      <w:pPr>
        <w:spacing w:before="100" w:beforeAutospacing="1" w:after="100" w:afterAutospacing="1"/>
        <w:jc w:val="left"/>
        <w:outlineLvl w:val="1"/>
        <w:rPr>
          <w:rFonts w:asciiTheme="majorHAnsi" w:eastAsia="Times New Roman" w:hAnsiTheme="majorHAnsi" w:cs="Times New Roman"/>
          <w:b/>
          <w:bCs/>
          <w:kern w:val="0"/>
          <w:sz w:val="36"/>
          <w:szCs w:val="36"/>
          <w14:ligatures w14:val="none"/>
        </w:rPr>
      </w:pPr>
      <w:r w:rsidRPr="00E71FFE">
        <w:rPr>
          <w:rFonts w:asciiTheme="majorHAnsi" w:eastAsia="Times New Roman" w:hAnsiTheme="majorHAnsi" w:cs="Times New Roman"/>
          <w:b/>
          <w:bCs/>
          <w:kern w:val="0"/>
          <w:sz w:val="36"/>
          <w:szCs w:val="36"/>
          <w14:ligatures w14:val="none"/>
        </w:rPr>
        <w:t>Results</w:t>
      </w:r>
    </w:p>
    <w:p w14:paraId="79412C94" w14:textId="7EB1A187" w:rsidR="00E71FFE" w:rsidRPr="00E71FFE" w:rsidRDefault="00E71FFE" w:rsidP="00E71FFE">
      <w:pPr>
        <w:spacing w:before="100" w:beforeAutospacing="1" w:after="100" w:afterAutospacing="1"/>
        <w:jc w:val="left"/>
        <w:outlineLvl w:val="2"/>
        <w:rPr>
          <w:rFonts w:asciiTheme="majorHAnsi" w:eastAsia="Times New Roman" w:hAnsiTheme="majorHAnsi" w:cs="Times New Roman"/>
          <w:b/>
          <w:bCs/>
          <w:kern w:val="0"/>
          <w:sz w:val="27"/>
          <w:szCs w:val="27"/>
          <w14:ligatures w14:val="none"/>
        </w:rPr>
      </w:pPr>
      <w:r w:rsidRPr="00E71FFE">
        <w:rPr>
          <w:rFonts w:asciiTheme="majorHAnsi" w:eastAsia="Times New Roman" w:hAnsiTheme="majorHAnsi" w:cs="Times New Roman"/>
          <w:b/>
          <w:bCs/>
          <w:kern w:val="0"/>
          <w:sz w:val="27"/>
          <w:szCs w:val="27"/>
          <w14:ligatures w14:val="none"/>
        </w:rPr>
        <w:t>Forest Area Change (2016–2025)</w:t>
      </w:r>
    </w:p>
    <w:p w14:paraId="5458101E"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Using a baseline threshold of NDVI &gt; 0.6 to define forest cover, the analysis of Sentinel-2 data revealed a net increase in forest area between 2016 and 2025. The total forest area in 2016 was calculated to be 113,542.51 hectares, which increased to 142,219.13 hectares in 2025. This constitutes a gross forest gain of 28,676.62 hectares, representing a 25.26% increase relative to the 2016 baseline. A summary of these findings is presented in Table 1.</w:t>
      </w:r>
    </w:p>
    <w:p w14:paraId="516F2D88" w14:textId="77777777" w:rsidR="00E71FFE" w:rsidRPr="00E71FFE" w:rsidRDefault="00E71FFE" w:rsidP="00E71FFE">
      <w:pPr>
        <w:jc w:val="center"/>
        <w:rPr>
          <w:rFonts w:asciiTheme="majorHAnsi" w:eastAsia="Times New Roman" w:hAnsiTheme="majorHAnsi" w:cs="Times New Roman"/>
          <w:kern w:val="0"/>
          <w:u w:val="single"/>
          <w14:ligatures w14:val="none"/>
        </w:rPr>
      </w:pPr>
      <w:r w:rsidRPr="00E71FFE">
        <w:rPr>
          <w:rFonts w:asciiTheme="majorHAnsi" w:eastAsia="Times New Roman" w:hAnsiTheme="majorHAnsi" w:cs="Times New Roman"/>
          <w:kern w:val="0"/>
          <w:u w:val="single"/>
          <w14:ligatures w14:val="none"/>
        </w:rPr>
        <w:t xml:space="preserve">Table 1. Forest area </w:t>
      </w:r>
      <w:proofErr w:type="gramStart"/>
      <w:r w:rsidRPr="00E71FFE">
        <w:rPr>
          <w:rFonts w:asciiTheme="majorHAnsi" w:eastAsia="Times New Roman" w:hAnsiTheme="majorHAnsi" w:cs="Times New Roman"/>
          <w:kern w:val="0"/>
          <w:u w:val="single"/>
          <w14:ligatures w14:val="none"/>
        </w:rPr>
        <w:t>change</w:t>
      </w:r>
      <w:proofErr w:type="gramEnd"/>
      <w:r w:rsidRPr="00E71FFE">
        <w:rPr>
          <w:rFonts w:asciiTheme="majorHAnsi" w:eastAsia="Times New Roman" w:hAnsiTheme="majorHAnsi" w:cs="Times New Roman"/>
          <w:kern w:val="0"/>
          <w:u w:val="single"/>
          <w14:ligatures w14:val="none"/>
        </w:rPr>
        <w:t xml:space="preserve"> between 2016 and 2025 based on an NDVI threshold of &gt; 0.6.</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78"/>
        <w:gridCol w:w="803"/>
        <w:gridCol w:w="1848"/>
        <w:gridCol w:w="1848"/>
        <w:gridCol w:w="1926"/>
        <w:gridCol w:w="2041"/>
      </w:tblGrid>
      <w:tr w:rsidR="00E71FFE" w:rsidRPr="00E71FFE" w14:paraId="3D0C12FD" w14:textId="77777777" w:rsidTr="00E71FFE">
        <w:tc>
          <w:tcPr>
            <w:tcW w:w="0" w:type="auto"/>
            <w:tcBorders>
              <w:top w:val="outset" w:sz="6" w:space="0" w:color="auto"/>
              <w:left w:val="outset" w:sz="6" w:space="0" w:color="auto"/>
              <w:bottom w:val="outset" w:sz="6" w:space="0" w:color="auto"/>
              <w:right w:val="outset" w:sz="6" w:space="0" w:color="auto"/>
            </w:tcBorders>
            <w:shd w:val="clear" w:color="auto" w:fill="CAEDFB" w:themeFill="accent4" w:themeFillTint="33"/>
            <w:hideMark/>
          </w:tcPr>
          <w:p w14:paraId="3132A40E" w14:textId="77777777" w:rsidR="00E71FFE" w:rsidRPr="00E71FFE" w:rsidRDefault="00E71FFE" w:rsidP="00E71FFE">
            <w:pPr>
              <w:spacing w:before="100" w:beforeAutospacing="1" w:after="100" w:afterAutospacing="1"/>
              <w:jc w:val="center"/>
              <w:rPr>
                <w:rFonts w:asciiTheme="majorHAnsi" w:eastAsia="Times New Roman" w:hAnsiTheme="majorHAnsi" w:cs="Times New Roman"/>
                <w:b/>
                <w:bCs/>
                <w:kern w:val="0"/>
                <w14:ligatures w14:val="none"/>
              </w:rPr>
            </w:pPr>
            <w:r w:rsidRPr="00E71FFE">
              <w:rPr>
                <w:rFonts w:asciiTheme="majorHAnsi" w:eastAsia="Times New Roman" w:hAnsiTheme="majorHAnsi" w:cs="Times New Roman"/>
                <w:b/>
                <w:bCs/>
                <w:kern w:val="0"/>
                <w14:ligatures w14:val="none"/>
              </w:rPr>
              <w:t>Initial Year</w:t>
            </w:r>
          </w:p>
        </w:tc>
        <w:tc>
          <w:tcPr>
            <w:tcW w:w="0" w:type="auto"/>
            <w:tcBorders>
              <w:top w:val="outset" w:sz="6" w:space="0" w:color="auto"/>
              <w:left w:val="outset" w:sz="6" w:space="0" w:color="auto"/>
              <w:bottom w:val="outset" w:sz="6" w:space="0" w:color="auto"/>
              <w:right w:val="outset" w:sz="6" w:space="0" w:color="auto"/>
            </w:tcBorders>
            <w:shd w:val="clear" w:color="auto" w:fill="CAEDFB" w:themeFill="accent4" w:themeFillTint="33"/>
            <w:hideMark/>
          </w:tcPr>
          <w:p w14:paraId="7ECC8B44" w14:textId="77777777" w:rsidR="00E71FFE" w:rsidRPr="00E71FFE" w:rsidRDefault="00E71FFE" w:rsidP="00E71FFE">
            <w:pPr>
              <w:spacing w:before="100" w:beforeAutospacing="1" w:after="100" w:afterAutospacing="1"/>
              <w:jc w:val="center"/>
              <w:rPr>
                <w:rFonts w:asciiTheme="majorHAnsi" w:eastAsia="Times New Roman" w:hAnsiTheme="majorHAnsi" w:cs="Times New Roman"/>
                <w:b/>
                <w:bCs/>
                <w:kern w:val="0"/>
                <w14:ligatures w14:val="none"/>
              </w:rPr>
            </w:pPr>
            <w:r w:rsidRPr="00E71FFE">
              <w:rPr>
                <w:rFonts w:asciiTheme="majorHAnsi" w:eastAsia="Times New Roman" w:hAnsiTheme="majorHAnsi" w:cs="Times New Roman"/>
                <w:b/>
                <w:bCs/>
                <w:kern w:val="0"/>
                <w14:ligatures w14:val="none"/>
              </w:rPr>
              <w:t>Final Year</w:t>
            </w:r>
          </w:p>
        </w:tc>
        <w:tc>
          <w:tcPr>
            <w:tcW w:w="0" w:type="auto"/>
            <w:tcBorders>
              <w:top w:val="outset" w:sz="6" w:space="0" w:color="auto"/>
              <w:left w:val="outset" w:sz="6" w:space="0" w:color="auto"/>
              <w:bottom w:val="outset" w:sz="6" w:space="0" w:color="auto"/>
              <w:right w:val="outset" w:sz="6" w:space="0" w:color="auto"/>
            </w:tcBorders>
            <w:shd w:val="clear" w:color="auto" w:fill="CAEDFB" w:themeFill="accent4" w:themeFillTint="33"/>
            <w:hideMark/>
          </w:tcPr>
          <w:p w14:paraId="0807BC46" w14:textId="77777777" w:rsidR="00E71FFE" w:rsidRPr="00E71FFE" w:rsidRDefault="00E71FFE" w:rsidP="00E71FFE">
            <w:pPr>
              <w:spacing w:before="100" w:beforeAutospacing="1" w:after="100" w:afterAutospacing="1"/>
              <w:jc w:val="center"/>
              <w:rPr>
                <w:rFonts w:asciiTheme="majorHAnsi" w:eastAsia="Times New Roman" w:hAnsiTheme="majorHAnsi" w:cs="Times New Roman"/>
                <w:b/>
                <w:bCs/>
                <w:kern w:val="0"/>
                <w14:ligatures w14:val="none"/>
              </w:rPr>
            </w:pPr>
            <w:r w:rsidRPr="00E71FFE">
              <w:rPr>
                <w:rFonts w:asciiTheme="majorHAnsi" w:eastAsia="Times New Roman" w:hAnsiTheme="majorHAnsi" w:cs="Times New Roman"/>
                <w:b/>
                <w:bCs/>
                <w:kern w:val="0"/>
                <w14:ligatures w14:val="none"/>
              </w:rPr>
              <w:t>Forest Area in 2016 (ha)</w:t>
            </w:r>
          </w:p>
        </w:tc>
        <w:tc>
          <w:tcPr>
            <w:tcW w:w="0" w:type="auto"/>
            <w:tcBorders>
              <w:top w:val="outset" w:sz="6" w:space="0" w:color="auto"/>
              <w:left w:val="outset" w:sz="6" w:space="0" w:color="auto"/>
              <w:bottom w:val="outset" w:sz="6" w:space="0" w:color="auto"/>
              <w:right w:val="outset" w:sz="6" w:space="0" w:color="auto"/>
            </w:tcBorders>
            <w:shd w:val="clear" w:color="auto" w:fill="CAEDFB" w:themeFill="accent4" w:themeFillTint="33"/>
            <w:hideMark/>
          </w:tcPr>
          <w:p w14:paraId="2BCE739E" w14:textId="77777777" w:rsidR="00E71FFE" w:rsidRPr="00E71FFE" w:rsidRDefault="00E71FFE" w:rsidP="00E71FFE">
            <w:pPr>
              <w:spacing w:before="100" w:beforeAutospacing="1" w:after="100" w:afterAutospacing="1"/>
              <w:jc w:val="center"/>
              <w:rPr>
                <w:rFonts w:asciiTheme="majorHAnsi" w:eastAsia="Times New Roman" w:hAnsiTheme="majorHAnsi" w:cs="Times New Roman"/>
                <w:b/>
                <w:bCs/>
                <w:kern w:val="0"/>
                <w14:ligatures w14:val="none"/>
              </w:rPr>
            </w:pPr>
            <w:r w:rsidRPr="00E71FFE">
              <w:rPr>
                <w:rFonts w:asciiTheme="majorHAnsi" w:eastAsia="Times New Roman" w:hAnsiTheme="majorHAnsi" w:cs="Times New Roman"/>
                <w:b/>
                <w:bCs/>
                <w:kern w:val="0"/>
                <w14:ligatures w14:val="none"/>
              </w:rPr>
              <w:t>Forest Area in 2025 (ha)</w:t>
            </w:r>
          </w:p>
        </w:tc>
        <w:tc>
          <w:tcPr>
            <w:tcW w:w="0" w:type="auto"/>
            <w:tcBorders>
              <w:top w:val="outset" w:sz="6" w:space="0" w:color="auto"/>
              <w:left w:val="outset" w:sz="6" w:space="0" w:color="auto"/>
              <w:bottom w:val="outset" w:sz="6" w:space="0" w:color="auto"/>
              <w:right w:val="outset" w:sz="6" w:space="0" w:color="auto"/>
            </w:tcBorders>
            <w:shd w:val="clear" w:color="auto" w:fill="CAEDFB" w:themeFill="accent4" w:themeFillTint="33"/>
            <w:hideMark/>
          </w:tcPr>
          <w:p w14:paraId="2A3631FE" w14:textId="77777777" w:rsidR="00E71FFE" w:rsidRPr="00E71FFE" w:rsidRDefault="00E71FFE" w:rsidP="00E71FFE">
            <w:pPr>
              <w:spacing w:before="100" w:beforeAutospacing="1" w:after="100" w:afterAutospacing="1"/>
              <w:jc w:val="center"/>
              <w:rPr>
                <w:rFonts w:asciiTheme="majorHAnsi" w:eastAsia="Times New Roman" w:hAnsiTheme="majorHAnsi" w:cs="Times New Roman"/>
                <w:b/>
                <w:bCs/>
                <w:kern w:val="0"/>
                <w14:ligatures w14:val="none"/>
              </w:rPr>
            </w:pPr>
            <w:r w:rsidRPr="00E71FFE">
              <w:rPr>
                <w:rFonts w:asciiTheme="majorHAnsi" w:eastAsia="Times New Roman" w:hAnsiTheme="majorHAnsi" w:cs="Times New Roman"/>
                <w:b/>
                <w:bCs/>
                <w:kern w:val="0"/>
                <w14:ligatures w14:val="none"/>
              </w:rPr>
              <w:t>Change in Forest Area (ha)</w:t>
            </w:r>
          </w:p>
        </w:tc>
        <w:tc>
          <w:tcPr>
            <w:tcW w:w="0" w:type="auto"/>
            <w:tcBorders>
              <w:top w:val="outset" w:sz="6" w:space="0" w:color="auto"/>
              <w:left w:val="outset" w:sz="6" w:space="0" w:color="auto"/>
              <w:bottom w:val="outset" w:sz="6" w:space="0" w:color="auto"/>
              <w:right w:val="outset" w:sz="6" w:space="0" w:color="auto"/>
            </w:tcBorders>
            <w:shd w:val="clear" w:color="auto" w:fill="CAEDFB" w:themeFill="accent4" w:themeFillTint="33"/>
            <w:hideMark/>
          </w:tcPr>
          <w:p w14:paraId="7C289C96" w14:textId="77777777" w:rsidR="00E71FFE" w:rsidRPr="00E71FFE" w:rsidRDefault="00E71FFE" w:rsidP="00E71FFE">
            <w:pPr>
              <w:spacing w:before="100" w:beforeAutospacing="1" w:after="100" w:afterAutospacing="1"/>
              <w:jc w:val="center"/>
              <w:rPr>
                <w:rFonts w:asciiTheme="majorHAnsi" w:eastAsia="Times New Roman" w:hAnsiTheme="majorHAnsi" w:cs="Times New Roman"/>
                <w:b/>
                <w:bCs/>
                <w:kern w:val="0"/>
                <w14:ligatures w14:val="none"/>
              </w:rPr>
            </w:pPr>
            <w:r w:rsidRPr="00E71FFE">
              <w:rPr>
                <w:rFonts w:asciiTheme="majorHAnsi" w:eastAsia="Times New Roman" w:hAnsiTheme="majorHAnsi" w:cs="Times New Roman"/>
                <w:b/>
                <w:bCs/>
                <w:kern w:val="0"/>
                <w14:ligatures w14:val="none"/>
              </w:rPr>
              <w:t>Percent Change in Forest Area</w:t>
            </w:r>
          </w:p>
        </w:tc>
      </w:tr>
      <w:tr w:rsidR="00E71FFE" w:rsidRPr="00E71FFE" w14:paraId="59C8812D"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13414E5A"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2016</w:t>
            </w:r>
          </w:p>
        </w:tc>
        <w:tc>
          <w:tcPr>
            <w:tcW w:w="0" w:type="auto"/>
            <w:tcBorders>
              <w:top w:val="outset" w:sz="6" w:space="0" w:color="auto"/>
              <w:left w:val="outset" w:sz="6" w:space="0" w:color="auto"/>
              <w:bottom w:val="outset" w:sz="6" w:space="0" w:color="auto"/>
              <w:right w:val="outset" w:sz="6" w:space="0" w:color="auto"/>
            </w:tcBorders>
            <w:hideMark/>
          </w:tcPr>
          <w:p w14:paraId="4B678F63"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2025</w:t>
            </w:r>
          </w:p>
        </w:tc>
        <w:tc>
          <w:tcPr>
            <w:tcW w:w="0" w:type="auto"/>
            <w:tcBorders>
              <w:top w:val="outset" w:sz="6" w:space="0" w:color="auto"/>
              <w:left w:val="outset" w:sz="6" w:space="0" w:color="auto"/>
              <w:bottom w:val="outset" w:sz="6" w:space="0" w:color="auto"/>
              <w:right w:val="outset" w:sz="6" w:space="0" w:color="auto"/>
            </w:tcBorders>
            <w:hideMark/>
          </w:tcPr>
          <w:p w14:paraId="5EF4A7BF"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113,542.51</w:t>
            </w:r>
          </w:p>
        </w:tc>
        <w:tc>
          <w:tcPr>
            <w:tcW w:w="0" w:type="auto"/>
            <w:tcBorders>
              <w:top w:val="outset" w:sz="6" w:space="0" w:color="auto"/>
              <w:left w:val="outset" w:sz="6" w:space="0" w:color="auto"/>
              <w:bottom w:val="outset" w:sz="6" w:space="0" w:color="auto"/>
              <w:right w:val="outset" w:sz="6" w:space="0" w:color="auto"/>
            </w:tcBorders>
            <w:hideMark/>
          </w:tcPr>
          <w:p w14:paraId="6AD441F8"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142,219.13</w:t>
            </w:r>
          </w:p>
        </w:tc>
        <w:tc>
          <w:tcPr>
            <w:tcW w:w="0" w:type="auto"/>
            <w:tcBorders>
              <w:top w:val="outset" w:sz="6" w:space="0" w:color="auto"/>
              <w:left w:val="outset" w:sz="6" w:space="0" w:color="auto"/>
              <w:bottom w:val="outset" w:sz="6" w:space="0" w:color="auto"/>
              <w:right w:val="outset" w:sz="6" w:space="0" w:color="auto"/>
            </w:tcBorders>
            <w:hideMark/>
          </w:tcPr>
          <w:p w14:paraId="6BF3C366"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28,676.62</w:t>
            </w:r>
          </w:p>
        </w:tc>
        <w:tc>
          <w:tcPr>
            <w:tcW w:w="0" w:type="auto"/>
            <w:tcBorders>
              <w:top w:val="outset" w:sz="6" w:space="0" w:color="auto"/>
              <w:left w:val="outset" w:sz="6" w:space="0" w:color="auto"/>
              <w:bottom w:val="outset" w:sz="6" w:space="0" w:color="auto"/>
              <w:right w:val="outset" w:sz="6" w:space="0" w:color="auto"/>
            </w:tcBorders>
            <w:hideMark/>
          </w:tcPr>
          <w:p w14:paraId="019C0716"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25.26%</w:t>
            </w:r>
          </w:p>
        </w:tc>
      </w:tr>
    </w:tbl>
    <w:p w14:paraId="7C107F4D" w14:textId="7F8EAA28" w:rsidR="00E71FFE" w:rsidRPr="00E71FFE" w:rsidRDefault="00E71FFE" w:rsidP="00E71FFE">
      <w:pPr>
        <w:spacing w:before="100" w:beforeAutospacing="1" w:after="100" w:afterAutospacing="1"/>
        <w:jc w:val="left"/>
        <w:outlineLvl w:val="2"/>
        <w:rPr>
          <w:rFonts w:asciiTheme="majorHAnsi" w:eastAsia="Times New Roman" w:hAnsiTheme="majorHAnsi" w:cs="Times New Roman"/>
          <w:b/>
          <w:bCs/>
          <w:kern w:val="0"/>
          <w:sz w:val="27"/>
          <w:szCs w:val="27"/>
          <w14:ligatures w14:val="none"/>
        </w:rPr>
      </w:pPr>
      <w:r w:rsidRPr="00E71FFE">
        <w:rPr>
          <w:rFonts w:asciiTheme="majorHAnsi" w:eastAsia="Times New Roman" w:hAnsiTheme="majorHAnsi" w:cs="Times New Roman"/>
          <w:b/>
          <w:bCs/>
          <w:kern w:val="0"/>
          <w:sz w:val="27"/>
          <w:szCs w:val="27"/>
          <w14:ligatures w14:val="none"/>
        </w:rPr>
        <w:t>Sensitivity of Loss Estimates to NDVI Threshold Definition</w:t>
      </w:r>
    </w:p>
    <w:p w14:paraId="1FF09E1E" w14:textId="2294AF43"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To assess the robustness of the findings, a sensitivity analysis was conducted to determine how the estimate of forest change varies with the NDVI threshold used to define "forest." This was accomplished by systematically recalculating forest area and change across NDVI thresholds ranging from 0.60 to 0.79</w:t>
      </w:r>
      <w:r w:rsidR="00D5732E">
        <w:rPr>
          <w:rFonts w:asciiTheme="majorHAnsi" w:eastAsia="Times New Roman" w:hAnsiTheme="majorHAnsi" w:cs="Times New Roman"/>
          <w:kern w:val="0"/>
          <w14:ligatures w14:val="none"/>
        </w:rPr>
        <w:t xml:space="preserve"> (see Figure 1 below)</w:t>
      </w:r>
      <w:r w:rsidRPr="00E71FFE">
        <w:rPr>
          <w:rFonts w:asciiTheme="majorHAnsi" w:eastAsia="Times New Roman" w:hAnsiTheme="majorHAnsi" w:cs="Times New Roman"/>
          <w:kern w:val="0"/>
          <w14:ligatures w14:val="none"/>
        </w:rPr>
        <w:t>.</w:t>
      </w:r>
    </w:p>
    <w:p w14:paraId="7C2F3C65" w14:textId="77777777" w:rsidR="00D5732E" w:rsidRDefault="00D5732E" w:rsidP="00E71FFE">
      <w:pPr>
        <w:spacing w:before="100" w:beforeAutospacing="1" w:after="100" w:afterAutospacing="1"/>
        <w:rPr>
          <w:rFonts w:asciiTheme="majorHAnsi" w:eastAsia="Times New Roman" w:hAnsiTheme="majorHAnsi" w:cs="Times New Roman"/>
          <w:kern w:val="0"/>
          <w14:ligatures w14:val="none"/>
        </w:rPr>
      </w:pPr>
    </w:p>
    <w:p w14:paraId="027D9B8E" w14:textId="77777777" w:rsidR="00D5732E" w:rsidRPr="00EE597D" w:rsidRDefault="00D5732E" w:rsidP="00D5732E">
      <w:pPr>
        <w:jc w:val="center"/>
        <w:rPr>
          <w:color w:val="000000" w:themeColor="text1"/>
          <w:u w:val="single"/>
        </w:rPr>
      </w:pPr>
      <w:r w:rsidRPr="00EE597D">
        <w:rPr>
          <w:color w:val="000000" w:themeColor="text1"/>
          <w:u w:val="single"/>
        </w:rPr>
        <w:lastRenderedPageBreak/>
        <w:t>Figure 1 – Sensitivity of Forest Loss to NDVI Threshold</w:t>
      </w:r>
    </w:p>
    <w:p w14:paraId="24203428" w14:textId="750F2140" w:rsidR="00D5732E" w:rsidRDefault="00D5732E" w:rsidP="00D5732E">
      <w:pPr>
        <w:jc w:val="center"/>
        <w:rPr>
          <w:color w:val="EE0000"/>
          <w:u w:val="single"/>
        </w:rPr>
      </w:pPr>
      <w:r>
        <w:rPr>
          <w:noProof/>
          <w:color w:val="EE0000"/>
          <w:u w:val="single"/>
        </w:rPr>
        <w:drawing>
          <wp:inline distT="0" distB="0" distL="0" distR="0" wp14:anchorId="58076A5B" wp14:editId="3051019D">
            <wp:extent cx="5242377" cy="4072466"/>
            <wp:effectExtent l="0" t="0" r="3175" b="4445"/>
            <wp:docPr id="800293288"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93288" name="Picture 2" descr="A graph with a li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501597" cy="4273838"/>
                    </a:xfrm>
                    <a:prstGeom prst="rect">
                      <a:avLst/>
                    </a:prstGeom>
                  </pic:spPr>
                </pic:pic>
              </a:graphicData>
            </a:graphic>
          </wp:inline>
        </w:drawing>
      </w:r>
    </w:p>
    <w:p w14:paraId="7C3AE314" w14:textId="77777777" w:rsidR="00D5732E" w:rsidRPr="00D5732E" w:rsidRDefault="00D5732E" w:rsidP="00D5732E">
      <w:pPr>
        <w:jc w:val="center"/>
        <w:rPr>
          <w:color w:val="EE0000"/>
          <w:u w:val="single"/>
        </w:rPr>
      </w:pPr>
    </w:p>
    <w:p w14:paraId="6CEEA329" w14:textId="57C7B965" w:rsidR="00E71FFE" w:rsidRDefault="00E71FFE" w:rsidP="00D5732E">
      <w:pP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The analysis revealed a distinct pattern: thresholds from NDVI &gt; 0.60 to just below 0.62 indicated a net forest gain, while thresholds from NDVI &gt; 0.62 to 0.73 showed progressively greater forest loss, from -2.30% to a peak of -98.84%. The calculated forest loss peaked at 98.84% with an NDVI threshold of 0.73, beyond which all remaining forest area was lost. The detailed results of this sensitivity analysis are provided in Table 2.</w:t>
      </w:r>
    </w:p>
    <w:p w14:paraId="40FA7D86" w14:textId="77777777" w:rsidR="00D5732E" w:rsidRPr="00E71FFE" w:rsidRDefault="00D5732E" w:rsidP="00D5732E">
      <w:pPr>
        <w:rPr>
          <w:rFonts w:asciiTheme="majorHAnsi" w:eastAsia="Times New Roman" w:hAnsiTheme="majorHAnsi" w:cs="Times New Roman"/>
          <w:kern w:val="0"/>
          <w14:ligatures w14:val="none"/>
        </w:rPr>
      </w:pPr>
    </w:p>
    <w:p w14:paraId="19F659ED" w14:textId="77777777" w:rsidR="00E71FFE" w:rsidRPr="00E71FFE" w:rsidRDefault="00E71FFE" w:rsidP="00E71FFE">
      <w:pPr>
        <w:jc w:val="center"/>
        <w:rPr>
          <w:rFonts w:asciiTheme="majorHAnsi" w:eastAsia="Times New Roman" w:hAnsiTheme="majorHAnsi" w:cs="Times New Roman"/>
          <w:kern w:val="0"/>
          <w:u w:val="single"/>
          <w14:ligatures w14:val="none"/>
        </w:rPr>
      </w:pPr>
      <w:r w:rsidRPr="00E71FFE">
        <w:rPr>
          <w:rFonts w:asciiTheme="majorHAnsi" w:eastAsia="Times New Roman" w:hAnsiTheme="majorHAnsi" w:cs="Times New Roman"/>
          <w:kern w:val="0"/>
          <w:u w:val="single"/>
          <w14:ligatures w14:val="none"/>
        </w:rPr>
        <w:t>Table 2. Forest area change based on varying NDVI thresholds.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86"/>
        <w:gridCol w:w="1899"/>
        <w:gridCol w:w="1899"/>
        <w:gridCol w:w="1993"/>
        <w:gridCol w:w="2167"/>
      </w:tblGrid>
      <w:tr w:rsidR="00E71FFE" w:rsidRPr="00E71FFE" w14:paraId="44261805" w14:textId="77777777" w:rsidTr="00D5732E">
        <w:trPr>
          <w:tblHeader/>
        </w:trPr>
        <w:tc>
          <w:tcPr>
            <w:tcW w:w="0" w:type="auto"/>
            <w:tcBorders>
              <w:top w:val="outset" w:sz="6" w:space="0" w:color="auto"/>
              <w:left w:val="outset" w:sz="6" w:space="0" w:color="auto"/>
              <w:bottom w:val="outset" w:sz="6" w:space="0" w:color="auto"/>
              <w:right w:val="outset" w:sz="6" w:space="0" w:color="auto"/>
            </w:tcBorders>
            <w:shd w:val="clear" w:color="auto" w:fill="CAEDFB" w:themeFill="accent4" w:themeFillTint="33"/>
            <w:hideMark/>
          </w:tcPr>
          <w:p w14:paraId="1AE4A0A8" w14:textId="77777777" w:rsidR="00E71FFE" w:rsidRPr="00E71FFE" w:rsidRDefault="00E71FFE" w:rsidP="00E71FFE">
            <w:pPr>
              <w:spacing w:before="100" w:beforeAutospacing="1" w:after="100" w:afterAutospacing="1"/>
              <w:jc w:val="center"/>
              <w:rPr>
                <w:rFonts w:asciiTheme="majorHAnsi" w:eastAsia="Times New Roman" w:hAnsiTheme="majorHAnsi" w:cs="Times New Roman"/>
                <w:b/>
                <w:bCs/>
                <w:kern w:val="0"/>
                <w14:ligatures w14:val="none"/>
              </w:rPr>
            </w:pPr>
            <w:r w:rsidRPr="00E71FFE">
              <w:rPr>
                <w:rFonts w:asciiTheme="majorHAnsi" w:eastAsia="Times New Roman" w:hAnsiTheme="majorHAnsi" w:cs="Times New Roman"/>
                <w:b/>
                <w:bCs/>
                <w:kern w:val="0"/>
                <w14:ligatures w14:val="none"/>
              </w:rPr>
              <w:t>NDVI Threshold</w:t>
            </w:r>
          </w:p>
        </w:tc>
        <w:tc>
          <w:tcPr>
            <w:tcW w:w="0" w:type="auto"/>
            <w:tcBorders>
              <w:top w:val="outset" w:sz="6" w:space="0" w:color="auto"/>
              <w:left w:val="outset" w:sz="6" w:space="0" w:color="auto"/>
              <w:bottom w:val="outset" w:sz="6" w:space="0" w:color="auto"/>
              <w:right w:val="outset" w:sz="6" w:space="0" w:color="auto"/>
            </w:tcBorders>
            <w:shd w:val="clear" w:color="auto" w:fill="CAEDFB" w:themeFill="accent4" w:themeFillTint="33"/>
            <w:hideMark/>
          </w:tcPr>
          <w:p w14:paraId="4FF4126A" w14:textId="77777777" w:rsidR="00E71FFE" w:rsidRPr="00E71FFE" w:rsidRDefault="00E71FFE" w:rsidP="00E71FFE">
            <w:pPr>
              <w:spacing w:before="100" w:beforeAutospacing="1" w:after="100" w:afterAutospacing="1"/>
              <w:jc w:val="center"/>
              <w:rPr>
                <w:rFonts w:asciiTheme="majorHAnsi" w:eastAsia="Times New Roman" w:hAnsiTheme="majorHAnsi" w:cs="Times New Roman"/>
                <w:b/>
                <w:bCs/>
                <w:kern w:val="0"/>
                <w14:ligatures w14:val="none"/>
              </w:rPr>
            </w:pPr>
            <w:r w:rsidRPr="00E71FFE">
              <w:rPr>
                <w:rFonts w:asciiTheme="majorHAnsi" w:eastAsia="Times New Roman" w:hAnsiTheme="majorHAnsi" w:cs="Times New Roman"/>
                <w:b/>
                <w:bCs/>
                <w:kern w:val="0"/>
                <w14:ligatures w14:val="none"/>
              </w:rPr>
              <w:t>Forest Area in 2016 (ha)</w:t>
            </w:r>
          </w:p>
        </w:tc>
        <w:tc>
          <w:tcPr>
            <w:tcW w:w="0" w:type="auto"/>
            <w:tcBorders>
              <w:top w:val="outset" w:sz="6" w:space="0" w:color="auto"/>
              <w:left w:val="outset" w:sz="6" w:space="0" w:color="auto"/>
              <w:bottom w:val="outset" w:sz="6" w:space="0" w:color="auto"/>
              <w:right w:val="outset" w:sz="6" w:space="0" w:color="auto"/>
            </w:tcBorders>
            <w:shd w:val="clear" w:color="auto" w:fill="CAEDFB" w:themeFill="accent4" w:themeFillTint="33"/>
            <w:hideMark/>
          </w:tcPr>
          <w:p w14:paraId="61734DFD" w14:textId="77777777" w:rsidR="00E71FFE" w:rsidRPr="00E71FFE" w:rsidRDefault="00E71FFE" w:rsidP="00E71FFE">
            <w:pPr>
              <w:spacing w:before="100" w:beforeAutospacing="1" w:after="100" w:afterAutospacing="1"/>
              <w:jc w:val="center"/>
              <w:rPr>
                <w:rFonts w:asciiTheme="majorHAnsi" w:eastAsia="Times New Roman" w:hAnsiTheme="majorHAnsi" w:cs="Times New Roman"/>
                <w:b/>
                <w:bCs/>
                <w:kern w:val="0"/>
                <w14:ligatures w14:val="none"/>
              </w:rPr>
            </w:pPr>
            <w:r w:rsidRPr="00E71FFE">
              <w:rPr>
                <w:rFonts w:asciiTheme="majorHAnsi" w:eastAsia="Times New Roman" w:hAnsiTheme="majorHAnsi" w:cs="Times New Roman"/>
                <w:b/>
                <w:bCs/>
                <w:kern w:val="0"/>
                <w14:ligatures w14:val="none"/>
              </w:rPr>
              <w:t>Forest Area in 2025 (ha)</w:t>
            </w:r>
          </w:p>
        </w:tc>
        <w:tc>
          <w:tcPr>
            <w:tcW w:w="0" w:type="auto"/>
            <w:tcBorders>
              <w:top w:val="outset" w:sz="6" w:space="0" w:color="auto"/>
              <w:left w:val="outset" w:sz="6" w:space="0" w:color="auto"/>
              <w:bottom w:val="outset" w:sz="6" w:space="0" w:color="auto"/>
              <w:right w:val="outset" w:sz="6" w:space="0" w:color="auto"/>
            </w:tcBorders>
            <w:shd w:val="clear" w:color="auto" w:fill="CAEDFB" w:themeFill="accent4" w:themeFillTint="33"/>
            <w:hideMark/>
          </w:tcPr>
          <w:p w14:paraId="1F83C8D1" w14:textId="77777777" w:rsidR="00E71FFE" w:rsidRPr="00E71FFE" w:rsidRDefault="00E71FFE" w:rsidP="00E71FFE">
            <w:pPr>
              <w:spacing w:before="100" w:beforeAutospacing="1" w:after="100" w:afterAutospacing="1"/>
              <w:jc w:val="center"/>
              <w:rPr>
                <w:rFonts w:asciiTheme="majorHAnsi" w:eastAsia="Times New Roman" w:hAnsiTheme="majorHAnsi" w:cs="Times New Roman"/>
                <w:b/>
                <w:bCs/>
                <w:kern w:val="0"/>
                <w14:ligatures w14:val="none"/>
              </w:rPr>
            </w:pPr>
            <w:r w:rsidRPr="00E71FFE">
              <w:rPr>
                <w:rFonts w:asciiTheme="majorHAnsi" w:eastAsia="Times New Roman" w:hAnsiTheme="majorHAnsi" w:cs="Times New Roman"/>
                <w:b/>
                <w:bCs/>
                <w:kern w:val="0"/>
                <w14:ligatures w14:val="none"/>
              </w:rPr>
              <w:t>Change in Forest Area (ha)</w:t>
            </w:r>
          </w:p>
        </w:tc>
        <w:tc>
          <w:tcPr>
            <w:tcW w:w="0" w:type="auto"/>
            <w:tcBorders>
              <w:top w:val="outset" w:sz="6" w:space="0" w:color="auto"/>
              <w:left w:val="outset" w:sz="6" w:space="0" w:color="auto"/>
              <w:bottom w:val="outset" w:sz="6" w:space="0" w:color="auto"/>
              <w:right w:val="outset" w:sz="6" w:space="0" w:color="auto"/>
            </w:tcBorders>
            <w:shd w:val="clear" w:color="auto" w:fill="CAEDFB" w:themeFill="accent4" w:themeFillTint="33"/>
            <w:hideMark/>
          </w:tcPr>
          <w:p w14:paraId="1DBBAE9A" w14:textId="77777777" w:rsidR="00E71FFE" w:rsidRPr="00E71FFE" w:rsidRDefault="00E71FFE" w:rsidP="00E71FFE">
            <w:pPr>
              <w:spacing w:before="100" w:beforeAutospacing="1" w:after="100" w:afterAutospacing="1"/>
              <w:jc w:val="center"/>
              <w:rPr>
                <w:rFonts w:asciiTheme="majorHAnsi" w:eastAsia="Times New Roman" w:hAnsiTheme="majorHAnsi" w:cs="Times New Roman"/>
                <w:b/>
                <w:bCs/>
                <w:kern w:val="0"/>
                <w14:ligatures w14:val="none"/>
              </w:rPr>
            </w:pPr>
            <w:r w:rsidRPr="00E71FFE">
              <w:rPr>
                <w:rFonts w:asciiTheme="majorHAnsi" w:eastAsia="Times New Roman" w:hAnsiTheme="majorHAnsi" w:cs="Times New Roman"/>
                <w:b/>
                <w:bCs/>
                <w:kern w:val="0"/>
                <w14:ligatures w14:val="none"/>
              </w:rPr>
              <w:t>Percent Change in Forest Area</w:t>
            </w:r>
          </w:p>
        </w:tc>
      </w:tr>
      <w:tr w:rsidR="00E71FFE" w:rsidRPr="00E71FFE" w14:paraId="06996885"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04745C00"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0.60</w:t>
            </w:r>
          </w:p>
        </w:tc>
        <w:tc>
          <w:tcPr>
            <w:tcW w:w="0" w:type="auto"/>
            <w:tcBorders>
              <w:top w:val="outset" w:sz="6" w:space="0" w:color="auto"/>
              <w:left w:val="outset" w:sz="6" w:space="0" w:color="auto"/>
              <w:bottom w:val="outset" w:sz="6" w:space="0" w:color="auto"/>
              <w:right w:val="outset" w:sz="6" w:space="0" w:color="auto"/>
            </w:tcBorders>
            <w:hideMark/>
          </w:tcPr>
          <w:p w14:paraId="7EFA19DA"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113,542.51</w:t>
            </w:r>
          </w:p>
        </w:tc>
        <w:tc>
          <w:tcPr>
            <w:tcW w:w="0" w:type="auto"/>
            <w:tcBorders>
              <w:top w:val="outset" w:sz="6" w:space="0" w:color="auto"/>
              <w:left w:val="outset" w:sz="6" w:space="0" w:color="auto"/>
              <w:bottom w:val="outset" w:sz="6" w:space="0" w:color="auto"/>
              <w:right w:val="outset" w:sz="6" w:space="0" w:color="auto"/>
            </w:tcBorders>
            <w:hideMark/>
          </w:tcPr>
          <w:p w14:paraId="5BBEC6B1"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142,219.13</w:t>
            </w:r>
          </w:p>
        </w:tc>
        <w:tc>
          <w:tcPr>
            <w:tcW w:w="0" w:type="auto"/>
            <w:tcBorders>
              <w:top w:val="outset" w:sz="6" w:space="0" w:color="auto"/>
              <w:left w:val="outset" w:sz="6" w:space="0" w:color="auto"/>
              <w:bottom w:val="outset" w:sz="6" w:space="0" w:color="auto"/>
              <w:right w:val="outset" w:sz="6" w:space="0" w:color="auto"/>
            </w:tcBorders>
            <w:hideMark/>
          </w:tcPr>
          <w:p w14:paraId="40D94FF0"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28,676.62</w:t>
            </w:r>
          </w:p>
        </w:tc>
        <w:tc>
          <w:tcPr>
            <w:tcW w:w="0" w:type="auto"/>
            <w:tcBorders>
              <w:top w:val="outset" w:sz="6" w:space="0" w:color="auto"/>
              <w:left w:val="outset" w:sz="6" w:space="0" w:color="auto"/>
              <w:bottom w:val="outset" w:sz="6" w:space="0" w:color="auto"/>
              <w:right w:val="outset" w:sz="6" w:space="0" w:color="auto"/>
            </w:tcBorders>
            <w:hideMark/>
          </w:tcPr>
          <w:p w14:paraId="6BDC89A5"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25.26%</w:t>
            </w:r>
          </w:p>
        </w:tc>
      </w:tr>
      <w:tr w:rsidR="00E71FFE" w:rsidRPr="00E71FFE" w14:paraId="2848D6DD"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464B673F"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0.61</w:t>
            </w:r>
          </w:p>
        </w:tc>
        <w:tc>
          <w:tcPr>
            <w:tcW w:w="0" w:type="auto"/>
            <w:tcBorders>
              <w:top w:val="outset" w:sz="6" w:space="0" w:color="auto"/>
              <w:left w:val="outset" w:sz="6" w:space="0" w:color="auto"/>
              <w:bottom w:val="outset" w:sz="6" w:space="0" w:color="auto"/>
              <w:right w:val="outset" w:sz="6" w:space="0" w:color="auto"/>
            </w:tcBorders>
            <w:hideMark/>
          </w:tcPr>
          <w:p w14:paraId="55C4A6D0"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85,891.65</w:t>
            </w:r>
          </w:p>
        </w:tc>
        <w:tc>
          <w:tcPr>
            <w:tcW w:w="0" w:type="auto"/>
            <w:tcBorders>
              <w:top w:val="outset" w:sz="6" w:space="0" w:color="auto"/>
              <w:left w:val="outset" w:sz="6" w:space="0" w:color="auto"/>
              <w:bottom w:val="outset" w:sz="6" w:space="0" w:color="auto"/>
              <w:right w:val="outset" w:sz="6" w:space="0" w:color="auto"/>
            </w:tcBorders>
            <w:hideMark/>
          </w:tcPr>
          <w:p w14:paraId="74406BFA"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95,955.41</w:t>
            </w:r>
          </w:p>
        </w:tc>
        <w:tc>
          <w:tcPr>
            <w:tcW w:w="0" w:type="auto"/>
            <w:tcBorders>
              <w:top w:val="outset" w:sz="6" w:space="0" w:color="auto"/>
              <w:left w:val="outset" w:sz="6" w:space="0" w:color="auto"/>
              <w:bottom w:val="outset" w:sz="6" w:space="0" w:color="auto"/>
              <w:right w:val="outset" w:sz="6" w:space="0" w:color="auto"/>
            </w:tcBorders>
            <w:hideMark/>
          </w:tcPr>
          <w:p w14:paraId="667B3DAB"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10,063.76</w:t>
            </w:r>
          </w:p>
        </w:tc>
        <w:tc>
          <w:tcPr>
            <w:tcW w:w="0" w:type="auto"/>
            <w:tcBorders>
              <w:top w:val="outset" w:sz="6" w:space="0" w:color="auto"/>
              <w:left w:val="outset" w:sz="6" w:space="0" w:color="auto"/>
              <w:bottom w:val="outset" w:sz="6" w:space="0" w:color="auto"/>
              <w:right w:val="outset" w:sz="6" w:space="0" w:color="auto"/>
            </w:tcBorders>
            <w:hideMark/>
          </w:tcPr>
          <w:p w14:paraId="20F9C009"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11.72%</w:t>
            </w:r>
          </w:p>
        </w:tc>
      </w:tr>
      <w:tr w:rsidR="00E71FFE" w:rsidRPr="00E71FFE" w14:paraId="3C7C4B7E"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0D679B9A"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0.62</w:t>
            </w:r>
          </w:p>
        </w:tc>
        <w:tc>
          <w:tcPr>
            <w:tcW w:w="0" w:type="auto"/>
            <w:tcBorders>
              <w:top w:val="outset" w:sz="6" w:space="0" w:color="auto"/>
              <w:left w:val="outset" w:sz="6" w:space="0" w:color="auto"/>
              <w:bottom w:val="outset" w:sz="6" w:space="0" w:color="auto"/>
              <w:right w:val="outset" w:sz="6" w:space="0" w:color="auto"/>
            </w:tcBorders>
            <w:hideMark/>
          </w:tcPr>
          <w:p w14:paraId="5AC92914"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61,095.99</w:t>
            </w:r>
          </w:p>
        </w:tc>
        <w:tc>
          <w:tcPr>
            <w:tcW w:w="0" w:type="auto"/>
            <w:tcBorders>
              <w:top w:val="outset" w:sz="6" w:space="0" w:color="auto"/>
              <w:left w:val="outset" w:sz="6" w:space="0" w:color="auto"/>
              <w:bottom w:val="outset" w:sz="6" w:space="0" w:color="auto"/>
              <w:right w:val="outset" w:sz="6" w:space="0" w:color="auto"/>
            </w:tcBorders>
            <w:hideMark/>
          </w:tcPr>
          <w:p w14:paraId="7239BEB4"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59,688.77</w:t>
            </w:r>
          </w:p>
        </w:tc>
        <w:tc>
          <w:tcPr>
            <w:tcW w:w="0" w:type="auto"/>
            <w:tcBorders>
              <w:top w:val="outset" w:sz="6" w:space="0" w:color="auto"/>
              <w:left w:val="outset" w:sz="6" w:space="0" w:color="auto"/>
              <w:bottom w:val="outset" w:sz="6" w:space="0" w:color="auto"/>
              <w:right w:val="outset" w:sz="6" w:space="0" w:color="auto"/>
            </w:tcBorders>
            <w:hideMark/>
          </w:tcPr>
          <w:p w14:paraId="2C55E273"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-1,407.22</w:t>
            </w:r>
          </w:p>
        </w:tc>
        <w:tc>
          <w:tcPr>
            <w:tcW w:w="0" w:type="auto"/>
            <w:tcBorders>
              <w:top w:val="outset" w:sz="6" w:space="0" w:color="auto"/>
              <w:left w:val="outset" w:sz="6" w:space="0" w:color="auto"/>
              <w:bottom w:val="outset" w:sz="6" w:space="0" w:color="auto"/>
              <w:right w:val="outset" w:sz="6" w:space="0" w:color="auto"/>
            </w:tcBorders>
            <w:hideMark/>
          </w:tcPr>
          <w:p w14:paraId="75DD0E58"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-2.30%</w:t>
            </w:r>
          </w:p>
        </w:tc>
      </w:tr>
      <w:tr w:rsidR="00E71FFE" w:rsidRPr="00E71FFE" w14:paraId="45637352"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0768EEA1"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0.63</w:t>
            </w:r>
          </w:p>
        </w:tc>
        <w:tc>
          <w:tcPr>
            <w:tcW w:w="0" w:type="auto"/>
            <w:tcBorders>
              <w:top w:val="outset" w:sz="6" w:space="0" w:color="auto"/>
              <w:left w:val="outset" w:sz="6" w:space="0" w:color="auto"/>
              <w:bottom w:val="outset" w:sz="6" w:space="0" w:color="auto"/>
              <w:right w:val="outset" w:sz="6" w:space="0" w:color="auto"/>
            </w:tcBorders>
            <w:hideMark/>
          </w:tcPr>
          <w:p w14:paraId="5F973F66"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40,666.53</w:t>
            </w:r>
          </w:p>
        </w:tc>
        <w:tc>
          <w:tcPr>
            <w:tcW w:w="0" w:type="auto"/>
            <w:tcBorders>
              <w:top w:val="outset" w:sz="6" w:space="0" w:color="auto"/>
              <w:left w:val="outset" w:sz="6" w:space="0" w:color="auto"/>
              <w:bottom w:val="outset" w:sz="6" w:space="0" w:color="auto"/>
              <w:right w:val="outset" w:sz="6" w:space="0" w:color="auto"/>
            </w:tcBorders>
            <w:hideMark/>
          </w:tcPr>
          <w:p w14:paraId="48680CA3"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34,244.54</w:t>
            </w:r>
          </w:p>
        </w:tc>
        <w:tc>
          <w:tcPr>
            <w:tcW w:w="0" w:type="auto"/>
            <w:tcBorders>
              <w:top w:val="outset" w:sz="6" w:space="0" w:color="auto"/>
              <w:left w:val="outset" w:sz="6" w:space="0" w:color="auto"/>
              <w:bottom w:val="outset" w:sz="6" w:space="0" w:color="auto"/>
              <w:right w:val="outset" w:sz="6" w:space="0" w:color="auto"/>
            </w:tcBorders>
            <w:hideMark/>
          </w:tcPr>
          <w:p w14:paraId="5AB9A839"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-6,421.99</w:t>
            </w:r>
          </w:p>
        </w:tc>
        <w:tc>
          <w:tcPr>
            <w:tcW w:w="0" w:type="auto"/>
            <w:tcBorders>
              <w:top w:val="outset" w:sz="6" w:space="0" w:color="auto"/>
              <w:left w:val="outset" w:sz="6" w:space="0" w:color="auto"/>
              <w:bottom w:val="outset" w:sz="6" w:space="0" w:color="auto"/>
              <w:right w:val="outset" w:sz="6" w:space="0" w:color="auto"/>
            </w:tcBorders>
            <w:hideMark/>
          </w:tcPr>
          <w:p w14:paraId="1F7778D6"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-15.79%</w:t>
            </w:r>
          </w:p>
        </w:tc>
      </w:tr>
      <w:tr w:rsidR="00E71FFE" w:rsidRPr="00E71FFE" w14:paraId="11461048"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134BF8DE"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0.64</w:t>
            </w:r>
          </w:p>
        </w:tc>
        <w:tc>
          <w:tcPr>
            <w:tcW w:w="0" w:type="auto"/>
            <w:tcBorders>
              <w:top w:val="outset" w:sz="6" w:space="0" w:color="auto"/>
              <w:left w:val="outset" w:sz="6" w:space="0" w:color="auto"/>
              <w:bottom w:val="outset" w:sz="6" w:space="0" w:color="auto"/>
              <w:right w:val="outset" w:sz="6" w:space="0" w:color="auto"/>
            </w:tcBorders>
            <w:hideMark/>
          </w:tcPr>
          <w:p w14:paraId="64971B96"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25,110.03</w:t>
            </w:r>
          </w:p>
        </w:tc>
        <w:tc>
          <w:tcPr>
            <w:tcW w:w="0" w:type="auto"/>
            <w:tcBorders>
              <w:top w:val="outset" w:sz="6" w:space="0" w:color="auto"/>
              <w:left w:val="outset" w:sz="6" w:space="0" w:color="auto"/>
              <w:bottom w:val="outset" w:sz="6" w:space="0" w:color="auto"/>
              <w:right w:val="outset" w:sz="6" w:space="0" w:color="auto"/>
            </w:tcBorders>
            <w:hideMark/>
          </w:tcPr>
          <w:p w14:paraId="140A3983"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18,249.28</w:t>
            </w:r>
          </w:p>
        </w:tc>
        <w:tc>
          <w:tcPr>
            <w:tcW w:w="0" w:type="auto"/>
            <w:tcBorders>
              <w:top w:val="outset" w:sz="6" w:space="0" w:color="auto"/>
              <w:left w:val="outset" w:sz="6" w:space="0" w:color="auto"/>
              <w:bottom w:val="outset" w:sz="6" w:space="0" w:color="auto"/>
              <w:right w:val="outset" w:sz="6" w:space="0" w:color="auto"/>
            </w:tcBorders>
            <w:hideMark/>
          </w:tcPr>
          <w:p w14:paraId="674D1F45"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-6,860.75</w:t>
            </w:r>
          </w:p>
        </w:tc>
        <w:tc>
          <w:tcPr>
            <w:tcW w:w="0" w:type="auto"/>
            <w:tcBorders>
              <w:top w:val="outset" w:sz="6" w:space="0" w:color="auto"/>
              <w:left w:val="outset" w:sz="6" w:space="0" w:color="auto"/>
              <w:bottom w:val="outset" w:sz="6" w:space="0" w:color="auto"/>
              <w:right w:val="outset" w:sz="6" w:space="0" w:color="auto"/>
            </w:tcBorders>
            <w:hideMark/>
          </w:tcPr>
          <w:p w14:paraId="14B57B40"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-27.32%</w:t>
            </w:r>
          </w:p>
        </w:tc>
      </w:tr>
      <w:tr w:rsidR="00E71FFE" w:rsidRPr="00E71FFE" w14:paraId="639779E6"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47EB5F51"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0.65</w:t>
            </w:r>
          </w:p>
        </w:tc>
        <w:tc>
          <w:tcPr>
            <w:tcW w:w="0" w:type="auto"/>
            <w:tcBorders>
              <w:top w:val="outset" w:sz="6" w:space="0" w:color="auto"/>
              <w:left w:val="outset" w:sz="6" w:space="0" w:color="auto"/>
              <w:bottom w:val="outset" w:sz="6" w:space="0" w:color="auto"/>
              <w:right w:val="outset" w:sz="6" w:space="0" w:color="auto"/>
            </w:tcBorders>
            <w:hideMark/>
          </w:tcPr>
          <w:p w14:paraId="2BB47301"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14,211.45</w:t>
            </w:r>
          </w:p>
        </w:tc>
        <w:tc>
          <w:tcPr>
            <w:tcW w:w="0" w:type="auto"/>
            <w:tcBorders>
              <w:top w:val="outset" w:sz="6" w:space="0" w:color="auto"/>
              <w:left w:val="outset" w:sz="6" w:space="0" w:color="auto"/>
              <w:bottom w:val="outset" w:sz="6" w:space="0" w:color="auto"/>
              <w:right w:val="outset" w:sz="6" w:space="0" w:color="auto"/>
            </w:tcBorders>
            <w:hideMark/>
          </w:tcPr>
          <w:p w14:paraId="44ACB944"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9,057.48</w:t>
            </w:r>
          </w:p>
        </w:tc>
        <w:tc>
          <w:tcPr>
            <w:tcW w:w="0" w:type="auto"/>
            <w:tcBorders>
              <w:top w:val="outset" w:sz="6" w:space="0" w:color="auto"/>
              <w:left w:val="outset" w:sz="6" w:space="0" w:color="auto"/>
              <w:bottom w:val="outset" w:sz="6" w:space="0" w:color="auto"/>
              <w:right w:val="outset" w:sz="6" w:space="0" w:color="auto"/>
            </w:tcBorders>
            <w:hideMark/>
          </w:tcPr>
          <w:p w14:paraId="314C3F9E"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-5,153.97</w:t>
            </w:r>
          </w:p>
        </w:tc>
        <w:tc>
          <w:tcPr>
            <w:tcW w:w="0" w:type="auto"/>
            <w:tcBorders>
              <w:top w:val="outset" w:sz="6" w:space="0" w:color="auto"/>
              <w:left w:val="outset" w:sz="6" w:space="0" w:color="auto"/>
              <w:bottom w:val="outset" w:sz="6" w:space="0" w:color="auto"/>
              <w:right w:val="outset" w:sz="6" w:space="0" w:color="auto"/>
            </w:tcBorders>
            <w:hideMark/>
          </w:tcPr>
          <w:p w14:paraId="5531690A"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-36.27%</w:t>
            </w:r>
          </w:p>
        </w:tc>
      </w:tr>
      <w:tr w:rsidR="00E71FFE" w:rsidRPr="00E71FFE" w14:paraId="494BE8A4"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452C6185"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0.66</w:t>
            </w:r>
          </w:p>
        </w:tc>
        <w:tc>
          <w:tcPr>
            <w:tcW w:w="0" w:type="auto"/>
            <w:tcBorders>
              <w:top w:val="outset" w:sz="6" w:space="0" w:color="auto"/>
              <w:left w:val="outset" w:sz="6" w:space="0" w:color="auto"/>
              <w:bottom w:val="outset" w:sz="6" w:space="0" w:color="auto"/>
              <w:right w:val="outset" w:sz="6" w:space="0" w:color="auto"/>
            </w:tcBorders>
            <w:hideMark/>
          </w:tcPr>
          <w:p w14:paraId="52A5F38C"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7,311.65</w:t>
            </w:r>
          </w:p>
        </w:tc>
        <w:tc>
          <w:tcPr>
            <w:tcW w:w="0" w:type="auto"/>
            <w:tcBorders>
              <w:top w:val="outset" w:sz="6" w:space="0" w:color="auto"/>
              <w:left w:val="outset" w:sz="6" w:space="0" w:color="auto"/>
              <w:bottom w:val="outset" w:sz="6" w:space="0" w:color="auto"/>
              <w:right w:val="outset" w:sz="6" w:space="0" w:color="auto"/>
            </w:tcBorders>
            <w:hideMark/>
          </w:tcPr>
          <w:p w14:paraId="437D1F98"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4,141.90</w:t>
            </w:r>
          </w:p>
        </w:tc>
        <w:tc>
          <w:tcPr>
            <w:tcW w:w="0" w:type="auto"/>
            <w:tcBorders>
              <w:top w:val="outset" w:sz="6" w:space="0" w:color="auto"/>
              <w:left w:val="outset" w:sz="6" w:space="0" w:color="auto"/>
              <w:bottom w:val="outset" w:sz="6" w:space="0" w:color="auto"/>
              <w:right w:val="outset" w:sz="6" w:space="0" w:color="auto"/>
            </w:tcBorders>
            <w:hideMark/>
          </w:tcPr>
          <w:p w14:paraId="3231ECFA"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-3,169.75</w:t>
            </w:r>
          </w:p>
        </w:tc>
        <w:tc>
          <w:tcPr>
            <w:tcW w:w="0" w:type="auto"/>
            <w:tcBorders>
              <w:top w:val="outset" w:sz="6" w:space="0" w:color="auto"/>
              <w:left w:val="outset" w:sz="6" w:space="0" w:color="auto"/>
              <w:bottom w:val="outset" w:sz="6" w:space="0" w:color="auto"/>
              <w:right w:val="outset" w:sz="6" w:space="0" w:color="auto"/>
            </w:tcBorders>
            <w:hideMark/>
          </w:tcPr>
          <w:p w14:paraId="405CF5BB"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-43.35%</w:t>
            </w:r>
          </w:p>
        </w:tc>
      </w:tr>
      <w:tr w:rsidR="00E71FFE" w:rsidRPr="00E71FFE" w14:paraId="3A0D16CF"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0028B007"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0.67</w:t>
            </w:r>
          </w:p>
        </w:tc>
        <w:tc>
          <w:tcPr>
            <w:tcW w:w="0" w:type="auto"/>
            <w:tcBorders>
              <w:top w:val="outset" w:sz="6" w:space="0" w:color="auto"/>
              <w:left w:val="outset" w:sz="6" w:space="0" w:color="auto"/>
              <w:bottom w:val="outset" w:sz="6" w:space="0" w:color="auto"/>
              <w:right w:val="outset" w:sz="6" w:space="0" w:color="auto"/>
            </w:tcBorders>
            <w:hideMark/>
          </w:tcPr>
          <w:p w14:paraId="33F5A4DB"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3,382.14</w:t>
            </w:r>
          </w:p>
        </w:tc>
        <w:tc>
          <w:tcPr>
            <w:tcW w:w="0" w:type="auto"/>
            <w:tcBorders>
              <w:top w:val="outset" w:sz="6" w:space="0" w:color="auto"/>
              <w:left w:val="outset" w:sz="6" w:space="0" w:color="auto"/>
              <w:bottom w:val="outset" w:sz="6" w:space="0" w:color="auto"/>
              <w:right w:val="outset" w:sz="6" w:space="0" w:color="auto"/>
            </w:tcBorders>
            <w:hideMark/>
          </w:tcPr>
          <w:p w14:paraId="71C234C2"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1,690.23</w:t>
            </w:r>
          </w:p>
        </w:tc>
        <w:tc>
          <w:tcPr>
            <w:tcW w:w="0" w:type="auto"/>
            <w:tcBorders>
              <w:top w:val="outset" w:sz="6" w:space="0" w:color="auto"/>
              <w:left w:val="outset" w:sz="6" w:space="0" w:color="auto"/>
              <w:bottom w:val="outset" w:sz="6" w:space="0" w:color="auto"/>
              <w:right w:val="outset" w:sz="6" w:space="0" w:color="auto"/>
            </w:tcBorders>
            <w:hideMark/>
          </w:tcPr>
          <w:p w14:paraId="426EDE7A"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-1,691.91</w:t>
            </w:r>
          </w:p>
        </w:tc>
        <w:tc>
          <w:tcPr>
            <w:tcW w:w="0" w:type="auto"/>
            <w:tcBorders>
              <w:top w:val="outset" w:sz="6" w:space="0" w:color="auto"/>
              <w:left w:val="outset" w:sz="6" w:space="0" w:color="auto"/>
              <w:bottom w:val="outset" w:sz="6" w:space="0" w:color="auto"/>
              <w:right w:val="outset" w:sz="6" w:space="0" w:color="auto"/>
            </w:tcBorders>
            <w:hideMark/>
          </w:tcPr>
          <w:p w14:paraId="3259CCA8"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-50.02%</w:t>
            </w:r>
          </w:p>
        </w:tc>
      </w:tr>
      <w:tr w:rsidR="00E71FFE" w:rsidRPr="00E71FFE" w14:paraId="6D3EC727"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2330CB82"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0.68</w:t>
            </w:r>
          </w:p>
        </w:tc>
        <w:tc>
          <w:tcPr>
            <w:tcW w:w="0" w:type="auto"/>
            <w:tcBorders>
              <w:top w:val="outset" w:sz="6" w:space="0" w:color="auto"/>
              <w:left w:val="outset" w:sz="6" w:space="0" w:color="auto"/>
              <w:bottom w:val="outset" w:sz="6" w:space="0" w:color="auto"/>
              <w:right w:val="outset" w:sz="6" w:space="0" w:color="auto"/>
            </w:tcBorders>
            <w:hideMark/>
          </w:tcPr>
          <w:p w14:paraId="21FBF892"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1,397.06</w:t>
            </w:r>
          </w:p>
        </w:tc>
        <w:tc>
          <w:tcPr>
            <w:tcW w:w="0" w:type="auto"/>
            <w:tcBorders>
              <w:top w:val="outset" w:sz="6" w:space="0" w:color="auto"/>
              <w:left w:val="outset" w:sz="6" w:space="0" w:color="auto"/>
              <w:bottom w:val="outset" w:sz="6" w:space="0" w:color="auto"/>
              <w:right w:val="outset" w:sz="6" w:space="0" w:color="auto"/>
            </w:tcBorders>
            <w:hideMark/>
          </w:tcPr>
          <w:p w14:paraId="5A7BB14F"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580.09</w:t>
            </w:r>
          </w:p>
        </w:tc>
        <w:tc>
          <w:tcPr>
            <w:tcW w:w="0" w:type="auto"/>
            <w:tcBorders>
              <w:top w:val="outset" w:sz="6" w:space="0" w:color="auto"/>
              <w:left w:val="outset" w:sz="6" w:space="0" w:color="auto"/>
              <w:bottom w:val="outset" w:sz="6" w:space="0" w:color="auto"/>
              <w:right w:val="outset" w:sz="6" w:space="0" w:color="auto"/>
            </w:tcBorders>
            <w:hideMark/>
          </w:tcPr>
          <w:p w14:paraId="564E0D59"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-816.97</w:t>
            </w:r>
          </w:p>
        </w:tc>
        <w:tc>
          <w:tcPr>
            <w:tcW w:w="0" w:type="auto"/>
            <w:tcBorders>
              <w:top w:val="outset" w:sz="6" w:space="0" w:color="auto"/>
              <w:left w:val="outset" w:sz="6" w:space="0" w:color="auto"/>
              <w:bottom w:val="outset" w:sz="6" w:space="0" w:color="auto"/>
              <w:right w:val="outset" w:sz="6" w:space="0" w:color="auto"/>
            </w:tcBorders>
            <w:hideMark/>
          </w:tcPr>
          <w:p w14:paraId="0B62ED85"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-58.48%</w:t>
            </w:r>
          </w:p>
        </w:tc>
      </w:tr>
      <w:tr w:rsidR="00E71FFE" w:rsidRPr="00E71FFE" w14:paraId="792FE6EC"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1C6B1A15"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lastRenderedPageBreak/>
              <w:t>0.69</w:t>
            </w:r>
          </w:p>
        </w:tc>
        <w:tc>
          <w:tcPr>
            <w:tcW w:w="0" w:type="auto"/>
            <w:tcBorders>
              <w:top w:val="outset" w:sz="6" w:space="0" w:color="auto"/>
              <w:left w:val="outset" w:sz="6" w:space="0" w:color="auto"/>
              <w:bottom w:val="outset" w:sz="6" w:space="0" w:color="auto"/>
              <w:right w:val="outset" w:sz="6" w:space="0" w:color="auto"/>
            </w:tcBorders>
            <w:hideMark/>
          </w:tcPr>
          <w:p w14:paraId="53D4554B"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515.48</w:t>
            </w:r>
          </w:p>
        </w:tc>
        <w:tc>
          <w:tcPr>
            <w:tcW w:w="0" w:type="auto"/>
            <w:tcBorders>
              <w:top w:val="outset" w:sz="6" w:space="0" w:color="auto"/>
              <w:left w:val="outset" w:sz="6" w:space="0" w:color="auto"/>
              <w:bottom w:val="outset" w:sz="6" w:space="0" w:color="auto"/>
              <w:right w:val="outset" w:sz="6" w:space="0" w:color="auto"/>
            </w:tcBorders>
            <w:hideMark/>
          </w:tcPr>
          <w:p w14:paraId="13D90AE5"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158.02</w:t>
            </w:r>
          </w:p>
        </w:tc>
        <w:tc>
          <w:tcPr>
            <w:tcW w:w="0" w:type="auto"/>
            <w:tcBorders>
              <w:top w:val="outset" w:sz="6" w:space="0" w:color="auto"/>
              <w:left w:val="outset" w:sz="6" w:space="0" w:color="auto"/>
              <w:bottom w:val="outset" w:sz="6" w:space="0" w:color="auto"/>
              <w:right w:val="outset" w:sz="6" w:space="0" w:color="auto"/>
            </w:tcBorders>
            <w:hideMark/>
          </w:tcPr>
          <w:p w14:paraId="0883B535"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-357.46</w:t>
            </w:r>
          </w:p>
        </w:tc>
        <w:tc>
          <w:tcPr>
            <w:tcW w:w="0" w:type="auto"/>
            <w:tcBorders>
              <w:top w:val="outset" w:sz="6" w:space="0" w:color="auto"/>
              <w:left w:val="outset" w:sz="6" w:space="0" w:color="auto"/>
              <w:bottom w:val="outset" w:sz="6" w:space="0" w:color="auto"/>
              <w:right w:val="outset" w:sz="6" w:space="0" w:color="auto"/>
            </w:tcBorders>
            <w:hideMark/>
          </w:tcPr>
          <w:p w14:paraId="3FCB66B4"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-69.35%</w:t>
            </w:r>
          </w:p>
        </w:tc>
      </w:tr>
      <w:tr w:rsidR="00E71FFE" w:rsidRPr="00E71FFE" w14:paraId="0794916F"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3DBADC47"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0.70</w:t>
            </w:r>
          </w:p>
        </w:tc>
        <w:tc>
          <w:tcPr>
            <w:tcW w:w="0" w:type="auto"/>
            <w:tcBorders>
              <w:top w:val="outset" w:sz="6" w:space="0" w:color="auto"/>
              <w:left w:val="outset" w:sz="6" w:space="0" w:color="auto"/>
              <w:bottom w:val="outset" w:sz="6" w:space="0" w:color="auto"/>
              <w:right w:val="outset" w:sz="6" w:space="0" w:color="auto"/>
            </w:tcBorders>
            <w:hideMark/>
          </w:tcPr>
          <w:p w14:paraId="44A1630A"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168.42</w:t>
            </w:r>
          </w:p>
        </w:tc>
        <w:tc>
          <w:tcPr>
            <w:tcW w:w="0" w:type="auto"/>
            <w:tcBorders>
              <w:top w:val="outset" w:sz="6" w:space="0" w:color="auto"/>
              <w:left w:val="outset" w:sz="6" w:space="0" w:color="auto"/>
              <w:bottom w:val="outset" w:sz="6" w:space="0" w:color="auto"/>
              <w:right w:val="outset" w:sz="6" w:space="0" w:color="auto"/>
            </w:tcBorders>
            <w:hideMark/>
          </w:tcPr>
          <w:p w14:paraId="7E6148E7"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32.11</w:t>
            </w:r>
          </w:p>
        </w:tc>
        <w:tc>
          <w:tcPr>
            <w:tcW w:w="0" w:type="auto"/>
            <w:tcBorders>
              <w:top w:val="outset" w:sz="6" w:space="0" w:color="auto"/>
              <w:left w:val="outset" w:sz="6" w:space="0" w:color="auto"/>
              <w:bottom w:val="outset" w:sz="6" w:space="0" w:color="auto"/>
              <w:right w:val="outset" w:sz="6" w:space="0" w:color="auto"/>
            </w:tcBorders>
            <w:hideMark/>
          </w:tcPr>
          <w:p w14:paraId="7536B0B0"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-136.31</w:t>
            </w:r>
          </w:p>
        </w:tc>
        <w:tc>
          <w:tcPr>
            <w:tcW w:w="0" w:type="auto"/>
            <w:tcBorders>
              <w:top w:val="outset" w:sz="6" w:space="0" w:color="auto"/>
              <w:left w:val="outset" w:sz="6" w:space="0" w:color="auto"/>
              <w:bottom w:val="outset" w:sz="6" w:space="0" w:color="auto"/>
              <w:right w:val="outset" w:sz="6" w:space="0" w:color="auto"/>
            </w:tcBorders>
            <w:hideMark/>
          </w:tcPr>
          <w:p w14:paraId="4E2549FF"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-80.93%</w:t>
            </w:r>
          </w:p>
        </w:tc>
      </w:tr>
      <w:tr w:rsidR="00E71FFE" w:rsidRPr="00E71FFE" w14:paraId="0CCA38D3"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699C01F9"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0.71</w:t>
            </w:r>
          </w:p>
        </w:tc>
        <w:tc>
          <w:tcPr>
            <w:tcW w:w="0" w:type="auto"/>
            <w:tcBorders>
              <w:top w:val="outset" w:sz="6" w:space="0" w:color="auto"/>
              <w:left w:val="outset" w:sz="6" w:space="0" w:color="auto"/>
              <w:bottom w:val="outset" w:sz="6" w:space="0" w:color="auto"/>
              <w:right w:val="outset" w:sz="6" w:space="0" w:color="auto"/>
            </w:tcBorders>
            <w:hideMark/>
          </w:tcPr>
          <w:p w14:paraId="2104A592"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46.94</w:t>
            </w:r>
          </w:p>
        </w:tc>
        <w:tc>
          <w:tcPr>
            <w:tcW w:w="0" w:type="auto"/>
            <w:tcBorders>
              <w:top w:val="outset" w:sz="6" w:space="0" w:color="auto"/>
              <w:left w:val="outset" w:sz="6" w:space="0" w:color="auto"/>
              <w:bottom w:val="outset" w:sz="6" w:space="0" w:color="auto"/>
              <w:right w:val="outset" w:sz="6" w:space="0" w:color="auto"/>
            </w:tcBorders>
            <w:hideMark/>
          </w:tcPr>
          <w:p w14:paraId="4A508C09"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3.93</w:t>
            </w:r>
          </w:p>
        </w:tc>
        <w:tc>
          <w:tcPr>
            <w:tcW w:w="0" w:type="auto"/>
            <w:tcBorders>
              <w:top w:val="outset" w:sz="6" w:space="0" w:color="auto"/>
              <w:left w:val="outset" w:sz="6" w:space="0" w:color="auto"/>
              <w:bottom w:val="outset" w:sz="6" w:space="0" w:color="auto"/>
              <w:right w:val="outset" w:sz="6" w:space="0" w:color="auto"/>
            </w:tcBorders>
            <w:hideMark/>
          </w:tcPr>
          <w:p w14:paraId="0F18FF60"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-43.01</w:t>
            </w:r>
          </w:p>
        </w:tc>
        <w:tc>
          <w:tcPr>
            <w:tcW w:w="0" w:type="auto"/>
            <w:tcBorders>
              <w:top w:val="outset" w:sz="6" w:space="0" w:color="auto"/>
              <w:left w:val="outset" w:sz="6" w:space="0" w:color="auto"/>
              <w:bottom w:val="outset" w:sz="6" w:space="0" w:color="auto"/>
              <w:right w:val="outset" w:sz="6" w:space="0" w:color="auto"/>
            </w:tcBorders>
            <w:hideMark/>
          </w:tcPr>
          <w:p w14:paraId="4D09D200"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-91.63%</w:t>
            </w:r>
          </w:p>
        </w:tc>
      </w:tr>
      <w:tr w:rsidR="00E71FFE" w:rsidRPr="00E71FFE" w14:paraId="3A14637E"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44F29C91"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0.72</w:t>
            </w:r>
          </w:p>
        </w:tc>
        <w:tc>
          <w:tcPr>
            <w:tcW w:w="0" w:type="auto"/>
            <w:tcBorders>
              <w:top w:val="outset" w:sz="6" w:space="0" w:color="auto"/>
              <w:left w:val="outset" w:sz="6" w:space="0" w:color="auto"/>
              <w:bottom w:val="outset" w:sz="6" w:space="0" w:color="auto"/>
              <w:right w:val="outset" w:sz="6" w:space="0" w:color="auto"/>
            </w:tcBorders>
            <w:hideMark/>
          </w:tcPr>
          <w:p w14:paraId="2A6D3D12"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10.71</w:t>
            </w:r>
          </w:p>
        </w:tc>
        <w:tc>
          <w:tcPr>
            <w:tcW w:w="0" w:type="auto"/>
            <w:tcBorders>
              <w:top w:val="outset" w:sz="6" w:space="0" w:color="auto"/>
              <w:left w:val="outset" w:sz="6" w:space="0" w:color="auto"/>
              <w:bottom w:val="outset" w:sz="6" w:space="0" w:color="auto"/>
              <w:right w:val="outset" w:sz="6" w:space="0" w:color="auto"/>
            </w:tcBorders>
            <w:hideMark/>
          </w:tcPr>
          <w:p w14:paraId="3BCC9F93"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0.33</w:t>
            </w:r>
          </w:p>
        </w:tc>
        <w:tc>
          <w:tcPr>
            <w:tcW w:w="0" w:type="auto"/>
            <w:tcBorders>
              <w:top w:val="outset" w:sz="6" w:space="0" w:color="auto"/>
              <w:left w:val="outset" w:sz="6" w:space="0" w:color="auto"/>
              <w:bottom w:val="outset" w:sz="6" w:space="0" w:color="auto"/>
              <w:right w:val="outset" w:sz="6" w:space="0" w:color="auto"/>
            </w:tcBorders>
            <w:hideMark/>
          </w:tcPr>
          <w:p w14:paraId="3412A18C"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-10.38</w:t>
            </w:r>
          </w:p>
        </w:tc>
        <w:tc>
          <w:tcPr>
            <w:tcW w:w="0" w:type="auto"/>
            <w:tcBorders>
              <w:top w:val="outset" w:sz="6" w:space="0" w:color="auto"/>
              <w:left w:val="outset" w:sz="6" w:space="0" w:color="auto"/>
              <w:bottom w:val="outset" w:sz="6" w:space="0" w:color="auto"/>
              <w:right w:val="outset" w:sz="6" w:space="0" w:color="auto"/>
            </w:tcBorders>
            <w:hideMark/>
          </w:tcPr>
          <w:p w14:paraId="49CC34DA"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-96.92%</w:t>
            </w:r>
          </w:p>
        </w:tc>
      </w:tr>
      <w:tr w:rsidR="00E71FFE" w:rsidRPr="00E71FFE" w14:paraId="16D8EE91"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3B399983"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0.73</w:t>
            </w:r>
          </w:p>
        </w:tc>
        <w:tc>
          <w:tcPr>
            <w:tcW w:w="0" w:type="auto"/>
            <w:tcBorders>
              <w:top w:val="outset" w:sz="6" w:space="0" w:color="auto"/>
              <w:left w:val="outset" w:sz="6" w:space="0" w:color="auto"/>
              <w:bottom w:val="outset" w:sz="6" w:space="0" w:color="auto"/>
              <w:right w:val="outset" w:sz="6" w:space="0" w:color="auto"/>
            </w:tcBorders>
            <w:hideMark/>
          </w:tcPr>
          <w:p w14:paraId="2BC30E08"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2.59</w:t>
            </w:r>
          </w:p>
        </w:tc>
        <w:tc>
          <w:tcPr>
            <w:tcW w:w="0" w:type="auto"/>
            <w:tcBorders>
              <w:top w:val="outset" w:sz="6" w:space="0" w:color="auto"/>
              <w:left w:val="outset" w:sz="6" w:space="0" w:color="auto"/>
              <w:bottom w:val="outset" w:sz="6" w:space="0" w:color="auto"/>
              <w:right w:val="outset" w:sz="6" w:space="0" w:color="auto"/>
            </w:tcBorders>
            <w:hideMark/>
          </w:tcPr>
          <w:p w14:paraId="74FE21C5"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0.03</w:t>
            </w:r>
          </w:p>
        </w:tc>
        <w:tc>
          <w:tcPr>
            <w:tcW w:w="0" w:type="auto"/>
            <w:tcBorders>
              <w:top w:val="outset" w:sz="6" w:space="0" w:color="auto"/>
              <w:left w:val="outset" w:sz="6" w:space="0" w:color="auto"/>
              <w:bottom w:val="outset" w:sz="6" w:space="0" w:color="auto"/>
              <w:right w:val="outset" w:sz="6" w:space="0" w:color="auto"/>
            </w:tcBorders>
            <w:hideMark/>
          </w:tcPr>
          <w:p w14:paraId="54626CBD"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-2.56</w:t>
            </w:r>
          </w:p>
        </w:tc>
        <w:tc>
          <w:tcPr>
            <w:tcW w:w="0" w:type="auto"/>
            <w:tcBorders>
              <w:top w:val="outset" w:sz="6" w:space="0" w:color="auto"/>
              <w:left w:val="outset" w:sz="6" w:space="0" w:color="auto"/>
              <w:bottom w:val="outset" w:sz="6" w:space="0" w:color="auto"/>
              <w:right w:val="outset" w:sz="6" w:space="0" w:color="auto"/>
            </w:tcBorders>
            <w:hideMark/>
          </w:tcPr>
          <w:p w14:paraId="5EF27755"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-98.84%</w:t>
            </w:r>
          </w:p>
        </w:tc>
      </w:tr>
      <w:tr w:rsidR="00E71FFE" w:rsidRPr="00E71FFE" w14:paraId="4031FEAE"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1B44FFBA"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0.74</w:t>
            </w:r>
          </w:p>
        </w:tc>
        <w:tc>
          <w:tcPr>
            <w:tcW w:w="0" w:type="auto"/>
            <w:tcBorders>
              <w:top w:val="outset" w:sz="6" w:space="0" w:color="auto"/>
              <w:left w:val="outset" w:sz="6" w:space="0" w:color="auto"/>
              <w:bottom w:val="outset" w:sz="6" w:space="0" w:color="auto"/>
              <w:right w:val="outset" w:sz="6" w:space="0" w:color="auto"/>
            </w:tcBorders>
            <w:hideMark/>
          </w:tcPr>
          <w:p w14:paraId="41134E40"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1.04</w:t>
            </w:r>
          </w:p>
        </w:tc>
        <w:tc>
          <w:tcPr>
            <w:tcW w:w="0" w:type="auto"/>
            <w:tcBorders>
              <w:top w:val="outset" w:sz="6" w:space="0" w:color="auto"/>
              <w:left w:val="outset" w:sz="6" w:space="0" w:color="auto"/>
              <w:bottom w:val="outset" w:sz="6" w:space="0" w:color="auto"/>
              <w:right w:val="outset" w:sz="6" w:space="0" w:color="auto"/>
            </w:tcBorders>
            <w:hideMark/>
          </w:tcPr>
          <w:p w14:paraId="1CADB243"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hideMark/>
          </w:tcPr>
          <w:p w14:paraId="4E9C72FB"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-1.04</w:t>
            </w:r>
          </w:p>
        </w:tc>
        <w:tc>
          <w:tcPr>
            <w:tcW w:w="0" w:type="auto"/>
            <w:tcBorders>
              <w:top w:val="outset" w:sz="6" w:space="0" w:color="auto"/>
              <w:left w:val="outset" w:sz="6" w:space="0" w:color="auto"/>
              <w:bottom w:val="outset" w:sz="6" w:space="0" w:color="auto"/>
              <w:right w:val="outset" w:sz="6" w:space="0" w:color="auto"/>
            </w:tcBorders>
            <w:hideMark/>
          </w:tcPr>
          <w:p w14:paraId="62F3DB54"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-100.00%</w:t>
            </w:r>
          </w:p>
        </w:tc>
      </w:tr>
      <w:tr w:rsidR="00E71FFE" w:rsidRPr="00E71FFE" w14:paraId="6ABB26BD"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590438E5"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0.75</w:t>
            </w:r>
          </w:p>
        </w:tc>
        <w:tc>
          <w:tcPr>
            <w:tcW w:w="0" w:type="auto"/>
            <w:tcBorders>
              <w:top w:val="outset" w:sz="6" w:space="0" w:color="auto"/>
              <w:left w:val="outset" w:sz="6" w:space="0" w:color="auto"/>
              <w:bottom w:val="outset" w:sz="6" w:space="0" w:color="auto"/>
              <w:right w:val="outset" w:sz="6" w:space="0" w:color="auto"/>
            </w:tcBorders>
            <w:hideMark/>
          </w:tcPr>
          <w:p w14:paraId="1207814F"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0.65</w:t>
            </w:r>
          </w:p>
        </w:tc>
        <w:tc>
          <w:tcPr>
            <w:tcW w:w="0" w:type="auto"/>
            <w:tcBorders>
              <w:top w:val="outset" w:sz="6" w:space="0" w:color="auto"/>
              <w:left w:val="outset" w:sz="6" w:space="0" w:color="auto"/>
              <w:bottom w:val="outset" w:sz="6" w:space="0" w:color="auto"/>
              <w:right w:val="outset" w:sz="6" w:space="0" w:color="auto"/>
            </w:tcBorders>
            <w:hideMark/>
          </w:tcPr>
          <w:p w14:paraId="44F87E8D"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hideMark/>
          </w:tcPr>
          <w:p w14:paraId="0C1BD2AC"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-0.65</w:t>
            </w:r>
          </w:p>
        </w:tc>
        <w:tc>
          <w:tcPr>
            <w:tcW w:w="0" w:type="auto"/>
            <w:tcBorders>
              <w:top w:val="outset" w:sz="6" w:space="0" w:color="auto"/>
              <w:left w:val="outset" w:sz="6" w:space="0" w:color="auto"/>
              <w:bottom w:val="outset" w:sz="6" w:space="0" w:color="auto"/>
              <w:right w:val="outset" w:sz="6" w:space="0" w:color="auto"/>
            </w:tcBorders>
            <w:hideMark/>
          </w:tcPr>
          <w:p w14:paraId="226DD618"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-100.00%</w:t>
            </w:r>
          </w:p>
        </w:tc>
      </w:tr>
      <w:tr w:rsidR="00E71FFE" w:rsidRPr="00E71FFE" w14:paraId="50820BDE"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28CA2091"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0.76</w:t>
            </w:r>
          </w:p>
        </w:tc>
        <w:tc>
          <w:tcPr>
            <w:tcW w:w="0" w:type="auto"/>
            <w:tcBorders>
              <w:top w:val="outset" w:sz="6" w:space="0" w:color="auto"/>
              <w:left w:val="outset" w:sz="6" w:space="0" w:color="auto"/>
              <w:bottom w:val="outset" w:sz="6" w:space="0" w:color="auto"/>
              <w:right w:val="outset" w:sz="6" w:space="0" w:color="auto"/>
            </w:tcBorders>
            <w:hideMark/>
          </w:tcPr>
          <w:p w14:paraId="6D501079"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0.51</w:t>
            </w:r>
          </w:p>
        </w:tc>
        <w:tc>
          <w:tcPr>
            <w:tcW w:w="0" w:type="auto"/>
            <w:tcBorders>
              <w:top w:val="outset" w:sz="6" w:space="0" w:color="auto"/>
              <w:left w:val="outset" w:sz="6" w:space="0" w:color="auto"/>
              <w:bottom w:val="outset" w:sz="6" w:space="0" w:color="auto"/>
              <w:right w:val="outset" w:sz="6" w:space="0" w:color="auto"/>
            </w:tcBorders>
            <w:hideMark/>
          </w:tcPr>
          <w:p w14:paraId="3394DBD5"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hideMark/>
          </w:tcPr>
          <w:p w14:paraId="70C2472E"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-0.51</w:t>
            </w:r>
          </w:p>
        </w:tc>
        <w:tc>
          <w:tcPr>
            <w:tcW w:w="0" w:type="auto"/>
            <w:tcBorders>
              <w:top w:val="outset" w:sz="6" w:space="0" w:color="auto"/>
              <w:left w:val="outset" w:sz="6" w:space="0" w:color="auto"/>
              <w:bottom w:val="outset" w:sz="6" w:space="0" w:color="auto"/>
              <w:right w:val="outset" w:sz="6" w:space="0" w:color="auto"/>
            </w:tcBorders>
            <w:hideMark/>
          </w:tcPr>
          <w:p w14:paraId="68319084"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-100.00%</w:t>
            </w:r>
          </w:p>
        </w:tc>
      </w:tr>
      <w:tr w:rsidR="00E71FFE" w:rsidRPr="00E71FFE" w14:paraId="4FA4CAD2"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280E1D6A"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0.77</w:t>
            </w:r>
          </w:p>
        </w:tc>
        <w:tc>
          <w:tcPr>
            <w:tcW w:w="0" w:type="auto"/>
            <w:tcBorders>
              <w:top w:val="outset" w:sz="6" w:space="0" w:color="auto"/>
              <w:left w:val="outset" w:sz="6" w:space="0" w:color="auto"/>
              <w:bottom w:val="outset" w:sz="6" w:space="0" w:color="auto"/>
              <w:right w:val="outset" w:sz="6" w:space="0" w:color="auto"/>
            </w:tcBorders>
            <w:hideMark/>
          </w:tcPr>
          <w:p w14:paraId="408B3636"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0.46</w:t>
            </w:r>
          </w:p>
        </w:tc>
        <w:tc>
          <w:tcPr>
            <w:tcW w:w="0" w:type="auto"/>
            <w:tcBorders>
              <w:top w:val="outset" w:sz="6" w:space="0" w:color="auto"/>
              <w:left w:val="outset" w:sz="6" w:space="0" w:color="auto"/>
              <w:bottom w:val="outset" w:sz="6" w:space="0" w:color="auto"/>
              <w:right w:val="outset" w:sz="6" w:space="0" w:color="auto"/>
            </w:tcBorders>
            <w:hideMark/>
          </w:tcPr>
          <w:p w14:paraId="37AB9321"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hideMark/>
          </w:tcPr>
          <w:p w14:paraId="4C3826D7"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-0.46</w:t>
            </w:r>
          </w:p>
        </w:tc>
        <w:tc>
          <w:tcPr>
            <w:tcW w:w="0" w:type="auto"/>
            <w:tcBorders>
              <w:top w:val="outset" w:sz="6" w:space="0" w:color="auto"/>
              <w:left w:val="outset" w:sz="6" w:space="0" w:color="auto"/>
              <w:bottom w:val="outset" w:sz="6" w:space="0" w:color="auto"/>
              <w:right w:val="outset" w:sz="6" w:space="0" w:color="auto"/>
            </w:tcBorders>
            <w:hideMark/>
          </w:tcPr>
          <w:p w14:paraId="2136D562"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-100.00%</w:t>
            </w:r>
          </w:p>
        </w:tc>
      </w:tr>
      <w:tr w:rsidR="00E71FFE" w:rsidRPr="00E71FFE" w14:paraId="0512EBC4"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0005B94D"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0.78</w:t>
            </w:r>
          </w:p>
        </w:tc>
        <w:tc>
          <w:tcPr>
            <w:tcW w:w="0" w:type="auto"/>
            <w:tcBorders>
              <w:top w:val="outset" w:sz="6" w:space="0" w:color="auto"/>
              <w:left w:val="outset" w:sz="6" w:space="0" w:color="auto"/>
              <w:bottom w:val="outset" w:sz="6" w:space="0" w:color="auto"/>
              <w:right w:val="outset" w:sz="6" w:space="0" w:color="auto"/>
            </w:tcBorders>
            <w:hideMark/>
          </w:tcPr>
          <w:p w14:paraId="76A27EBC"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0.44</w:t>
            </w:r>
          </w:p>
        </w:tc>
        <w:tc>
          <w:tcPr>
            <w:tcW w:w="0" w:type="auto"/>
            <w:tcBorders>
              <w:top w:val="outset" w:sz="6" w:space="0" w:color="auto"/>
              <w:left w:val="outset" w:sz="6" w:space="0" w:color="auto"/>
              <w:bottom w:val="outset" w:sz="6" w:space="0" w:color="auto"/>
              <w:right w:val="outset" w:sz="6" w:space="0" w:color="auto"/>
            </w:tcBorders>
            <w:hideMark/>
          </w:tcPr>
          <w:p w14:paraId="52E4E23E"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hideMark/>
          </w:tcPr>
          <w:p w14:paraId="31C8342C"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-0.44</w:t>
            </w:r>
          </w:p>
        </w:tc>
        <w:tc>
          <w:tcPr>
            <w:tcW w:w="0" w:type="auto"/>
            <w:tcBorders>
              <w:top w:val="outset" w:sz="6" w:space="0" w:color="auto"/>
              <w:left w:val="outset" w:sz="6" w:space="0" w:color="auto"/>
              <w:bottom w:val="outset" w:sz="6" w:space="0" w:color="auto"/>
              <w:right w:val="outset" w:sz="6" w:space="0" w:color="auto"/>
            </w:tcBorders>
            <w:hideMark/>
          </w:tcPr>
          <w:p w14:paraId="6886590B"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-100.00%</w:t>
            </w:r>
          </w:p>
        </w:tc>
      </w:tr>
      <w:tr w:rsidR="00E71FFE" w:rsidRPr="00E71FFE" w14:paraId="35057CB2"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41EB7FD7"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0.79</w:t>
            </w:r>
          </w:p>
        </w:tc>
        <w:tc>
          <w:tcPr>
            <w:tcW w:w="0" w:type="auto"/>
            <w:tcBorders>
              <w:top w:val="outset" w:sz="6" w:space="0" w:color="auto"/>
              <w:left w:val="outset" w:sz="6" w:space="0" w:color="auto"/>
              <w:bottom w:val="outset" w:sz="6" w:space="0" w:color="auto"/>
              <w:right w:val="outset" w:sz="6" w:space="0" w:color="auto"/>
            </w:tcBorders>
            <w:hideMark/>
          </w:tcPr>
          <w:p w14:paraId="02943972"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0.44</w:t>
            </w:r>
          </w:p>
        </w:tc>
        <w:tc>
          <w:tcPr>
            <w:tcW w:w="0" w:type="auto"/>
            <w:tcBorders>
              <w:top w:val="outset" w:sz="6" w:space="0" w:color="auto"/>
              <w:left w:val="outset" w:sz="6" w:space="0" w:color="auto"/>
              <w:bottom w:val="outset" w:sz="6" w:space="0" w:color="auto"/>
              <w:right w:val="outset" w:sz="6" w:space="0" w:color="auto"/>
            </w:tcBorders>
            <w:hideMark/>
          </w:tcPr>
          <w:p w14:paraId="0B6C71D4"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hideMark/>
          </w:tcPr>
          <w:p w14:paraId="5A579A53"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-0.44</w:t>
            </w:r>
          </w:p>
        </w:tc>
        <w:tc>
          <w:tcPr>
            <w:tcW w:w="0" w:type="auto"/>
            <w:tcBorders>
              <w:top w:val="outset" w:sz="6" w:space="0" w:color="auto"/>
              <w:left w:val="outset" w:sz="6" w:space="0" w:color="auto"/>
              <w:bottom w:val="outset" w:sz="6" w:space="0" w:color="auto"/>
              <w:right w:val="outset" w:sz="6" w:space="0" w:color="auto"/>
            </w:tcBorders>
            <w:hideMark/>
          </w:tcPr>
          <w:p w14:paraId="6DC8377C"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-100.00%</w:t>
            </w:r>
          </w:p>
        </w:tc>
      </w:tr>
    </w:tbl>
    <w:p w14:paraId="2E8D7AD4" w14:textId="65E1C02A" w:rsidR="00E71FFE" w:rsidRPr="00E71FFE" w:rsidRDefault="00E71FFE" w:rsidP="00E71FFE">
      <w:pPr>
        <w:spacing w:before="100" w:beforeAutospacing="1" w:after="100" w:afterAutospacing="1"/>
        <w:jc w:val="left"/>
        <w:outlineLvl w:val="1"/>
        <w:rPr>
          <w:rFonts w:asciiTheme="majorHAnsi" w:eastAsia="Times New Roman" w:hAnsiTheme="majorHAnsi" w:cs="Times New Roman"/>
          <w:b/>
          <w:bCs/>
          <w:kern w:val="0"/>
          <w:sz w:val="36"/>
          <w:szCs w:val="36"/>
          <w14:ligatures w14:val="none"/>
        </w:rPr>
      </w:pPr>
      <w:r w:rsidRPr="00E71FFE">
        <w:rPr>
          <w:rFonts w:asciiTheme="majorHAnsi" w:eastAsia="Times New Roman" w:hAnsiTheme="majorHAnsi" w:cs="Times New Roman"/>
          <w:b/>
          <w:bCs/>
          <w:kern w:val="0"/>
          <w:sz w:val="36"/>
          <w:szCs w:val="36"/>
          <w14:ligatures w14:val="none"/>
        </w:rPr>
        <w:t>Discussion</w:t>
      </w:r>
    </w:p>
    <w:p w14:paraId="04ADD968"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The study's primary analysis yielded the unexpected result of a 25.26% net forest gain when using a baseline NDVI threshold of &gt; 0.6. However, the subsequent sensitivity analysis immediately revealed that the estimate of forest change is critically dependent on the NDVI value selected to define forest cover. This finding reinforces the fundamental importance of careful threshold selection and justification in remote sensing-based change detection studies, as the choice of a single value can dramatically alter the interpretation of landscape change.</w:t>
      </w:r>
    </w:p>
    <w:p w14:paraId="1C7A1BB6"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To contextualize these findings, a comparison was made with data from Global Forest Watch (GFW) for the Bislig-Visayas area, using the same KBA boundary (Global Forest Watch, 2025). The GFW dashboard indicates a 25% decrease in primary forest area between 2002 and 2024 and a 28% loss of total tree cover between 2001 and 2024. A direct comparison between this study's results and GFW data is not appropriate, as the time periods differ significantly and GFW utilizes a combination of metrics beyond NDVI to derive its estimates (World Resources Institute, 2025).</w:t>
      </w:r>
    </w:p>
    <w:p w14:paraId="1385E00C" w14:textId="5914A9C3"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Despite the inability to make a direct comparison, the GFW data provides a valuable benchmark suggesting that widespread forest loss is the expected trend in the region. This stark discrepancy, coupled with the sensitivity analysis, strongly indicates that the initial NDVI &gt; 0.60 threshold is overly inclusive, likely misclassifying non-forest vegetation such as scrubland or agricultural plantations as forest. The sensitivity analysis shows that NDVI values between &gt; 0.63 and 0.65 produce loss estimates that are more directionally consistent with external data</w:t>
      </w:r>
      <w:r w:rsidR="00D5732E">
        <w:rPr>
          <w:rFonts w:asciiTheme="majorHAnsi" w:eastAsia="Times New Roman" w:hAnsiTheme="majorHAnsi" w:cs="Times New Roman"/>
          <w:kern w:val="0"/>
          <w14:ligatures w14:val="none"/>
        </w:rPr>
        <w:t xml:space="preserve"> (see Table 3 below)</w:t>
      </w:r>
      <w:r w:rsidRPr="00E71FFE">
        <w:rPr>
          <w:rFonts w:asciiTheme="majorHAnsi" w:eastAsia="Times New Roman" w:hAnsiTheme="majorHAnsi" w:cs="Times New Roman"/>
          <w:kern w:val="0"/>
          <w14:ligatures w14:val="none"/>
        </w:rPr>
        <w:t>. Therefore, it is recommended that a median value from this range, such as 0.64, be used for future computations to achieve a more representative classification of forest cover in this complex environment.</w:t>
      </w:r>
    </w:p>
    <w:p w14:paraId="1196A184" w14:textId="77777777" w:rsidR="00D5732E" w:rsidRDefault="00D5732E" w:rsidP="00E71FFE">
      <w:pPr>
        <w:jc w:val="center"/>
        <w:rPr>
          <w:rFonts w:asciiTheme="majorHAnsi" w:eastAsia="Times New Roman" w:hAnsiTheme="majorHAnsi" w:cs="Times New Roman"/>
          <w:kern w:val="0"/>
          <w:u w:val="single"/>
          <w14:ligatures w14:val="none"/>
        </w:rPr>
      </w:pPr>
    </w:p>
    <w:p w14:paraId="6A4D9124" w14:textId="77777777" w:rsidR="00D5732E" w:rsidRDefault="00D5732E" w:rsidP="00E71FFE">
      <w:pPr>
        <w:jc w:val="center"/>
        <w:rPr>
          <w:rFonts w:asciiTheme="majorHAnsi" w:eastAsia="Times New Roman" w:hAnsiTheme="majorHAnsi" w:cs="Times New Roman"/>
          <w:kern w:val="0"/>
          <w:u w:val="single"/>
          <w14:ligatures w14:val="none"/>
        </w:rPr>
      </w:pPr>
    </w:p>
    <w:p w14:paraId="11F0F86A" w14:textId="5ABEF1C2" w:rsidR="00E71FFE" w:rsidRPr="00E71FFE" w:rsidRDefault="00E71FFE" w:rsidP="00E71FFE">
      <w:pPr>
        <w:jc w:val="center"/>
        <w:rPr>
          <w:rFonts w:asciiTheme="majorHAnsi" w:eastAsia="Times New Roman" w:hAnsiTheme="majorHAnsi" w:cs="Times New Roman"/>
          <w:kern w:val="0"/>
          <w:u w:val="single"/>
          <w14:ligatures w14:val="none"/>
        </w:rPr>
      </w:pPr>
      <w:r w:rsidRPr="00E71FFE">
        <w:rPr>
          <w:rFonts w:asciiTheme="majorHAnsi" w:eastAsia="Times New Roman" w:hAnsiTheme="majorHAnsi" w:cs="Times New Roman"/>
          <w:kern w:val="0"/>
          <w:u w:val="single"/>
          <w14:ligatures w14:val="none"/>
        </w:rPr>
        <w:lastRenderedPageBreak/>
        <w:t>Table 3. Comparison of Global Forest Watch (GFW) data with forest cover change estimates from varying NDVI thresholds.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39"/>
        <w:gridCol w:w="1229"/>
        <w:gridCol w:w="1436"/>
        <w:gridCol w:w="1138"/>
        <w:gridCol w:w="1334"/>
        <w:gridCol w:w="1334"/>
        <w:gridCol w:w="1334"/>
      </w:tblGrid>
      <w:tr w:rsidR="00E71FFE" w:rsidRPr="00E71FFE" w14:paraId="65D087B2" w14:textId="77777777" w:rsidTr="00E71FFE">
        <w:tc>
          <w:tcPr>
            <w:tcW w:w="0" w:type="auto"/>
            <w:gridSpan w:val="2"/>
            <w:tcBorders>
              <w:top w:val="outset" w:sz="6" w:space="0" w:color="auto"/>
              <w:left w:val="outset" w:sz="6" w:space="0" w:color="auto"/>
              <w:bottom w:val="outset" w:sz="6" w:space="0" w:color="auto"/>
              <w:right w:val="outset" w:sz="6" w:space="0" w:color="auto"/>
            </w:tcBorders>
            <w:shd w:val="clear" w:color="auto" w:fill="CAEDFB" w:themeFill="accent4" w:themeFillTint="33"/>
            <w:hideMark/>
          </w:tcPr>
          <w:p w14:paraId="3A16F609" w14:textId="5129A84C" w:rsidR="00E71FFE" w:rsidRPr="00E71FFE" w:rsidRDefault="00E71FFE" w:rsidP="00E71FFE">
            <w:pPr>
              <w:jc w:val="center"/>
              <w:rPr>
                <w:rFonts w:asciiTheme="majorHAnsi" w:eastAsia="Times New Roman" w:hAnsiTheme="majorHAnsi" w:cs="Times New Roman"/>
                <w:b/>
                <w:bCs/>
                <w:kern w:val="0"/>
                <w14:ligatures w14:val="none"/>
              </w:rPr>
            </w:pPr>
            <w:r w:rsidRPr="00E71FFE">
              <w:rPr>
                <w:rFonts w:asciiTheme="majorHAnsi" w:eastAsia="Times New Roman" w:hAnsiTheme="majorHAnsi" w:cs="Times New Roman"/>
                <w:b/>
                <w:bCs/>
                <w:kern w:val="0"/>
                <w14:ligatures w14:val="none"/>
              </w:rPr>
              <w:t>GFW Data (2001–2024)</w:t>
            </w:r>
          </w:p>
        </w:tc>
        <w:tc>
          <w:tcPr>
            <w:tcW w:w="0" w:type="auto"/>
            <w:gridSpan w:val="5"/>
            <w:tcBorders>
              <w:top w:val="outset" w:sz="6" w:space="0" w:color="auto"/>
              <w:left w:val="outset" w:sz="6" w:space="0" w:color="auto"/>
              <w:bottom w:val="outset" w:sz="6" w:space="0" w:color="auto"/>
              <w:right w:val="outset" w:sz="6" w:space="0" w:color="auto"/>
            </w:tcBorders>
            <w:shd w:val="clear" w:color="auto" w:fill="CAEDFB" w:themeFill="accent4" w:themeFillTint="33"/>
            <w:hideMark/>
          </w:tcPr>
          <w:p w14:paraId="04DB22BE" w14:textId="54F9F134" w:rsidR="00E71FFE" w:rsidRPr="00E71FFE" w:rsidRDefault="00E71FFE" w:rsidP="00E71FFE">
            <w:pPr>
              <w:jc w:val="center"/>
              <w:rPr>
                <w:rFonts w:asciiTheme="majorHAnsi" w:eastAsia="Times New Roman" w:hAnsiTheme="majorHAnsi" w:cs="Times New Roman"/>
                <w:b/>
                <w:bCs/>
                <w:kern w:val="0"/>
                <w:sz w:val="20"/>
                <w:szCs w:val="20"/>
                <w14:ligatures w14:val="none"/>
              </w:rPr>
            </w:pPr>
            <w:r w:rsidRPr="00E71FFE">
              <w:rPr>
                <w:rFonts w:asciiTheme="majorHAnsi" w:eastAsia="Times New Roman" w:hAnsiTheme="majorHAnsi" w:cs="Times New Roman"/>
                <w:b/>
                <w:bCs/>
                <w:kern w:val="0"/>
                <w14:ligatures w14:val="none"/>
              </w:rPr>
              <w:t>This Study: Percent Change in Forest Cover (2016–2025) at Select NDVI Thresholds</w:t>
            </w:r>
          </w:p>
        </w:tc>
      </w:tr>
      <w:tr w:rsidR="00E71FFE" w:rsidRPr="00E71FFE" w14:paraId="2FF9B7B1" w14:textId="77777777" w:rsidTr="00E71FFE">
        <w:tc>
          <w:tcPr>
            <w:tcW w:w="0" w:type="auto"/>
            <w:tcBorders>
              <w:top w:val="outset" w:sz="6" w:space="0" w:color="auto"/>
              <w:left w:val="outset" w:sz="6" w:space="0" w:color="auto"/>
              <w:bottom w:val="outset" w:sz="6" w:space="0" w:color="auto"/>
              <w:right w:val="outset" w:sz="6" w:space="0" w:color="auto"/>
            </w:tcBorders>
            <w:shd w:val="clear" w:color="auto" w:fill="CAEDFB" w:themeFill="accent4" w:themeFillTint="33"/>
            <w:hideMark/>
          </w:tcPr>
          <w:p w14:paraId="0BF2AC1B"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b/>
                <w:bCs/>
                <w:kern w:val="0"/>
                <w14:ligatures w14:val="none"/>
              </w:rPr>
              <w:t>Primary Forest Loss</w:t>
            </w:r>
          </w:p>
        </w:tc>
        <w:tc>
          <w:tcPr>
            <w:tcW w:w="0" w:type="auto"/>
            <w:tcBorders>
              <w:top w:val="outset" w:sz="6" w:space="0" w:color="auto"/>
              <w:left w:val="outset" w:sz="6" w:space="0" w:color="auto"/>
              <w:bottom w:val="outset" w:sz="6" w:space="0" w:color="auto"/>
              <w:right w:val="outset" w:sz="6" w:space="0" w:color="auto"/>
            </w:tcBorders>
            <w:shd w:val="clear" w:color="auto" w:fill="CAEDFB" w:themeFill="accent4" w:themeFillTint="33"/>
            <w:hideMark/>
          </w:tcPr>
          <w:p w14:paraId="77C1459F" w14:textId="77777777" w:rsidR="00E71FFE" w:rsidRPr="00E71FFE" w:rsidRDefault="00E71FFE" w:rsidP="00E71FFE">
            <w:pPr>
              <w:spacing w:before="100" w:beforeAutospacing="1" w:after="100" w:afterAutospacing="1"/>
              <w:jc w:val="center"/>
              <w:rPr>
                <w:rFonts w:asciiTheme="majorHAnsi" w:eastAsia="Times New Roman" w:hAnsiTheme="majorHAnsi" w:cs="Times New Roman"/>
                <w:b/>
                <w:bCs/>
                <w:kern w:val="0"/>
                <w14:ligatures w14:val="none"/>
              </w:rPr>
            </w:pPr>
            <w:r w:rsidRPr="00E71FFE">
              <w:rPr>
                <w:rFonts w:asciiTheme="majorHAnsi" w:eastAsia="Times New Roman" w:hAnsiTheme="majorHAnsi" w:cs="Times New Roman"/>
                <w:b/>
                <w:bCs/>
                <w:kern w:val="0"/>
                <w14:ligatures w14:val="none"/>
              </w:rPr>
              <w:t>Tree Cover Loss</w:t>
            </w:r>
          </w:p>
        </w:tc>
        <w:tc>
          <w:tcPr>
            <w:tcW w:w="0" w:type="auto"/>
            <w:tcBorders>
              <w:top w:val="outset" w:sz="6" w:space="0" w:color="auto"/>
              <w:left w:val="outset" w:sz="6" w:space="0" w:color="auto"/>
              <w:bottom w:val="outset" w:sz="6" w:space="0" w:color="auto"/>
              <w:right w:val="outset" w:sz="6" w:space="0" w:color="auto"/>
            </w:tcBorders>
            <w:shd w:val="clear" w:color="auto" w:fill="CAEDFB" w:themeFill="accent4" w:themeFillTint="33"/>
            <w:hideMark/>
          </w:tcPr>
          <w:p w14:paraId="4C98DF58" w14:textId="77777777" w:rsidR="00E71FFE" w:rsidRPr="00E71FFE" w:rsidRDefault="00E71FFE" w:rsidP="00E71FFE">
            <w:pPr>
              <w:spacing w:before="100" w:beforeAutospacing="1" w:after="100" w:afterAutospacing="1"/>
              <w:jc w:val="center"/>
              <w:rPr>
                <w:rFonts w:asciiTheme="majorHAnsi" w:eastAsia="Times New Roman" w:hAnsiTheme="majorHAnsi" w:cs="Times New Roman"/>
                <w:b/>
                <w:bCs/>
                <w:kern w:val="0"/>
                <w14:ligatures w14:val="none"/>
              </w:rPr>
            </w:pPr>
            <w:r w:rsidRPr="00E71FFE">
              <w:rPr>
                <w:rFonts w:asciiTheme="majorHAnsi" w:eastAsia="Times New Roman" w:hAnsiTheme="majorHAnsi" w:cs="Times New Roman"/>
                <w:b/>
                <w:bCs/>
                <w:kern w:val="0"/>
                <w14:ligatures w14:val="none"/>
              </w:rPr>
              <w:t>&gt; 0.60</w:t>
            </w:r>
          </w:p>
        </w:tc>
        <w:tc>
          <w:tcPr>
            <w:tcW w:w="0" w:type="auto"/>
            <w:tcBorders>
              <w:top w:val="outset" w:sz="6" w:space="0" w:color="auto"/>
              <w:left w:val="outset" w:sz="6" w:space="0" w:color="auto"/>
              <w:bottom w:val="outset" w:sz="6" w:space="0" w:color="auto"/>
              <w:right w:val="outset" w:sz="6" w:space="0" w:color="auto"/>
            </w:tcBorders>
            <w:shd w:val="clear" w:color="auto" w:fill="CAEDFB" w:themeFill="accent4" w:themeFillTint="33"/>
            <w:hideMark/>
          </w:tcPr>
          <w:p w14:paraId="1FBD131B" w14:textId="77777777" w:rsidR="00E71FFE" w:rsidRPr="00E71FFE" w:rsidRDefault="00E71FFE" w:rsidP="00E71FFE">
            <w:pPr>
              <w:spacing w:before="100" w:beforeAutospacing="1" w:after="100" w:afterAutospacing="1"/>
              <w:jc w:val="center"/>
              <w:rPr>
                <w:rFonts w:asciiTheme="majorHAnsi" w:eastAsia="Times New Roman" w:hAnsiTheme="majorHAnsi" w:cs="Times New Roman"/>
                <w:b/>
                <w:bCs/>
                <w:kern w:val="0"/>
                <w14:ligatures w14:val="none"/>
              </w:rPr>
            </w:pPr>
            <w:r w:rsidRPr="00E71FFE">
              <w:rPr>
                <w:rFonts w:asciiTheme="majorHAnsi" w:eastAsia="Times New Roman" w:hAnsiTheme="majorHAnsi" w:cs="Times New Roman"/>
                <w:b/>
                <w:bCs/>
                <w:kern w:val="0"/>
                <w14:ligatures w14:val="none"/>
              </w:rPr>
              <w:t>&gt; 0.62</w:t>
            </w:r>
          </w:p>
        </w:tc>
        <w:tc>
          <w:tcPr>
            <w:tcW w:w="0" w:type="auto"/>
            <w:tcBorders>
              <w:top w:val="outset" w:sz="6" w:space="0" w:color="auto"/>
              <w:left w:val="outset" w:sz="6" w:space="0" w:color="auto"/>
              <w:bottom w:val="outset" w:sz="6" w:space="0" w:color="auto"/>
              <w:right w:val="outset" w:sz="6" w:space="0" w:color="auto"/>
            </w:tcBorders>
            <w:shd w:val="clear" w:color="auto" w:fill="CAEDFB" w:themeFill="accent4" w:themeFillTint="33"/>
            <w:hideMark/>
          </w:tcPr>
          <w:p w14:paraId="3392A802" w14:textId="77777777" w:rsidR="00E71FFE" w:rsidRPr="00E71FFE" w:rsidRDefault="00E71FFE" w:rsidP="00E71FFE">
            <w:pPr>
              <w:spacing w:before="100" w:beforeAutospacing="1" w:after="100" w:afterAutospacing="1"/>
              <w:jc w:val="center"/>
              <w:rPr>
                <w:rFonts w:asciiTheme="majorHAnsi" w:eastAsia="Times New Roman" w:hAnsiTheme="majorHAnsi" w:cs="Times New Roman"/>
                <w:b/>
                <w:bCs/>
                <w:kern w:val="0"/>
                <w14:ligatures w14:val="none"/>
              </w:rPr>
            </w:pPr>
            <w:r w:rsidRPr="00E71FFE">
              <w:rPr>
                <w:rFonts w:asciiTheme="majorHAnsi" w:eastAsia="Times New Roman" w:hAnsiTheme="majorHAnsi" w:cs="Times New Roman"/>
                <w:b/>
                <w:bCs/>
                <w:kern w:val="0"/>
                <w14:ligatures w14:val="none"/>
              </w:rPr>
              <w:t>&gt; 0.63</w:t>
            </w:r>
          </w:p>
        </w:tc>
        <w:tc>
          <w:tcPr>
            <w:tcW w:w="0" w:type="auto"/>
            <w:tcBorders>
              <w:top w:val="outset" w:sz="6" w:space="0" w:color="auto"/>
              <w:left w:val="outset" w:sz="6" w:space="0" w:color="auto"/>
              <w:bottom w:val="outset" w:sz="6" w:space="0" w:color="auto"/>
              <w:right w:val="outset" w:sz="6" w:space="0" w:color="auto"/>
            </w:tcBorders>
            <w:shd w:val="clear" w:color="auto" w:fill="CAEDFB" w:themeFill="accent4" w:themeFillTint="33"/>
            <w:hideMark/>
          </w:tcPr>
          <w:p w14:paraId="1C442D38" w14:textId="77777777" w:rsidR="00E71FFE" w:rsidRPr="00E71FFE" w:rsidRDefault="00E71FFE" w:rsidP="00E71FFE">
            <w:pPr>
              <w:spacing w:before="100" w:beforeAutospacing="1" w:after="100" w:afterAutospacing="1"/>
              <w:jc w:val="center"/>
              <w:rPr>
                <w:rFonts w:asciiTheme="majorHAnsi" w:eastAsia="Times New Roman" w:hAnsiTheme="majorHAnsi" w:cs="Times New Roman"/>
                <w:b/>
                <w:bCs/>
                <w:kern w:val="0"/>
                <w14:ligatures w14:val="none"/>
              </w:rPr>
            </w:pPr>
            <w:r w:rsidRPr="00E71FFE">
              <w:rPr>
                <w:rFonts w:asciiTheme="majorHAnsi" w:eastAsia="Times New Roman" w:hAnsiTheme="majorHAnsi" w:cs="Times New Roman"/>
                <w:b/>
                <w:bCs/>
                <w:kern w:val="0"/>
                <w14:ligatures w14:val="none"/>
              </w:rPr>
              <w:t>&gt; 0.64</w:t>
            </w:r>
          </w:p>
        </w:tc>
        <w:tc>
          <w:tcPr>
            <w:tcW w:w="0" w:type="auto"/>
            <w:tcBorders>
              <w:top w:val="outset" w:sz="6" w:space="0" w:color="auto"/>
              <w:left w:val="outset" w:sz="6" w:space="0" w:color="auto"/>
              <w:bottom w:val="outset" w:sz="6" w:space="0" w:color="auto"/>
              <w:right w:val="outset" w:sz="6" w:space="0" w:color="auto"/>
            </w:tcBorders>
            <w:shd w:val="clear" w:color="auto" w:fill="CAEDFB" w:themeFill="accent4" w:themeFillTint="33"/>
            <w:hideMark/>
          </w:tcPr>
          <w:p w14:paraId="7E8784AC" w14:textId="77777777" w:rsidR="00E71FFE" w:rsidRPr="00E71FFE" w:rsidRDefault="00E71FFE" w:rsidP="00E71FFE">
            <w:pPr>
              <w:spacing w:before="100" w:beforeAutospacing="1" w:after="100" w:afterAutospacing="1"/>
              <w:jc w:val="center"/>
              <w:rPr>
                <w:rFonts w:asciiTheme="majorHAnsi" w:eastAsia="Times New Roman" w:hAnsiTheme="majorHAnsi" w:cs="Times New Roman"/>
                <w:b/>
                <w:bCs/>
                <w:kern w:val="0"/>
                <w14:ligatures w14:val="none"/>
              </w:rPr>
            </w:pPr>
            <w:r w:rsidRPr="00E71FFE">
              <w:rPr>
                <w:rFonts w:asciiTheme="majorHAnsi" w:eastAsia="Times New Roman" w:hAnsiTheme="majorHAnsi" w:cs="Times New Roman"/>
                <w:b/>
                <w:bCs/>
                <w:kern w:val="0"/>
                <w14:ligatures w14:val="none"/>
              </w:rPr>
              <w:t>&gt; 0.65</w:t>
            </w:r>
          </w:p>
        </w:tc>
      </w:tr>
      <w:tr w:rsidR="00E71FFE" w:rsidRPr="00E71FFE" w14:paraId="71A2BBE1" w14:textId="77777777" w:rsidTr="00E71FFE">
        <w:tc>
          <w:tcPr>
            <w:tcW w:w="0" w:type="auto"/>
            <w:tcBorders>
              <w:top w:val="outset" w:sz="6" w:space="0" w:color="auto"/>
              <w:left w:val="outset" w:sz="6" w:space="0" w:color="auto"/>
              <w:bottom w:val="outset" w:sz="6" w:space="0" w:color="auto"/>
              <w:right w:val="outset" w:sz="6" w:space="0" w:color="auto"/>
            </w:tcBorders>
            <w:hideMark/>
          </w:tcPr>
          <w:p w14:paraId="1A08C8DC"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25%</w:t>
            </w:r>
          </w:p>
        </w:tc>
        <w:tc>
          <w:tcPr>
            <w:tcW w:w="0" w:type="auto"/>
            <w:tcBorders>
              <w:top w:val="outset" w:sz="6" w:space="0" w:color="auto"/>
              <w:left w:val="outset" w:sz="6" w:space="0" w:color="auto"/>
              <w:bottom w:val="outset" w:sz="6" w:space="0" w:color="auto"/>
              <w:right w:val="outset" w:sz="6" w:space="0" w:color="auto"/>
            </w:tcBorders>
            <w:hideMark/>
          </w:tcPr>
          <w:p w14:paraId="5E0E654E"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28%</w:t>
            </w:r>
          </w:p>
        </w:tc>
        <w:tc>
          <w:tcPr>
            <w:tcW w:w="0" w:type="auto"/>
            <w:tcBorders>
              <w:top w:val="outset" w:sz="6" w:space="0" w:color="auto"/>
              <w:left w:val="outset" w:sz="6" w:space="0" w:color="auto"/>
              <w:bottom w:val="outset" w:sz="6" w:space="0" w:color="auto"/>
              <w:right w:val="outset" w:sz="6" w:space="0" w:color="auto"/>
            </w:tcBorders>
            <w:hideMark/>
          </w:tcPr>
          <w:p w14:paraId="695142D1"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+25.26%</w:t>
            </w:r>
          </w:p>
        </w:tc>
        <w:tc>
          <w:tcPr>
            <w:tcW w:w="0" w:type="auto"/>
            <w:tcBorders>
              <w:top w:val="outset" w:sz="6" w:space="0" w:color="auto"/>
              <w:left w:val="outset" w:sz="6" w:space="0" w:color="auto"/>
              <w:bottom w:val="outset" w:sz="6" w:space="0" w:color="auto"/>
              <w:right w:val="outset" w:sz="6" w:space="0" w:color="auto"/>
            </w:tcBorders>
            <w:hideMark/>
          </w:tcPr>
          <w:p w14:paraId="6D7D31D3"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-2.30%</w:t>
            </w:r>
          </w:p>
        </w:tc>
        <w:tc>
          <w:tcPr>
            <w:tcW w:w="0" w:type="auto"/>
            <w:tcBorders>
              <w:top w:val="outset" w:sz="6" w:space="0" w:color="auto"/>
              <w:left w:val="outset" w:sz="6" w:space="0" w:color="auto"/>
              <w:bottom w:val="outset" w:sz="6" w:space="0" w:color="auto"/>
              <w:right w:val="outset" w:sz="6" w:space="0" w:color="auto"/>
            </w:tcBorders>
            <w:hideMark/>
          </w:tcPr>
          <w:p w14:paraId="76ED6D0D"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-15.79%</w:t>
            </w:r>
          </w:p>
        </w:tc>
        <w:tc>
          <w:tcPr>
            <w:tcW w:w="0" w:type="auto"/>
            <w:tcBorders>
              <w:top w:val="outset" w:sz="6" w:space="0" w:color="auto"/>
              <w:left w:val="outset" w:sz="6" w:space="0" w:color="auto"/>
              <w:bottom w:val="outset" w:sz="6" w:space="0" w:color="auto"/>
              <w:right w:val="outset" w:sz="6" w:space="0" w:color="auto"/>
            </w:tcBorders>
            <w:hideMark/>
          </w:tcPr>
          <w:p w14:paraId="0D7D803D"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-27.32%</w:t>
            </w:r>
          </w:p>
        </w:tc>
        <w:tc>
          <w:tcPr>
            <w:tcW w:w="0" w:type="auto"/>
            <w:tcBorders>
              <w:top w:val="outset" w:sz="6" w:space="0" w:color="auto"/>
              <w:left w:val="outset" w:sz="6" w:space="0" w:color="auto"/>
              <w:bottom w:val="outset" w:sz="6" w:space="0" w:color="auto"/>
              <w:right w:val="outset" w:sz="6" w:space="0" w:color="auto"/>
            </w:tcBorders>
            <w:hideMark/>
          </w:tcPr>
          <w:p w14:paraId="22AD6905" w14:textId="77777777" w:rsidR="00E71FFE" w:rsidRPr="00E71FFE" w:rsidRDefault="00E71FFE" w:rsidP="00E71FFE">
            <w:pPr>
              <w:spacing w:before="100" w:beforeAutospacing="1" w:after="100" w:afterAutospacing="1"/>
              <w:jc w:val="center"/>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-36.27%</w:t>
            </w:r>
          </w:p>
        </w:tc>
      </w:tr>
    </w:tbl>
    <w:p w14:paraId="0B0EA97E" w14:textId="17DCCFCC" w:rsidR="00E71FFE" w:rsidRPr="00E71FFE" w:rsidRDefault="00E71FFE" w:rsidP="00E71FFE">
      <w:pPr>
        <w:spacing w:before="100" w:beforeAutospacing="1" w:after="100" w:afterAutospacing="1"/>
        <w:jc w:val="left"/>
        <w:outlineLvl w:val="1"/>
        <w:rPr>
          <w:rFonts w:asciiTheme="majorHAnsi" w:eastAsia="Times New Roman" w:hAnsiTheme="majorHAnsi" w:cs="Times New Roman"/>
          <w:b/>
          <w:bCs/>
          <w:kern w:val="0"/>
          <w:sz w:val="36"/>
          <w:szCs w:val="36"/>
          <w14:ligatures w14:val="none"/>
        </w:rPr>
      </w:pPr>
      <w:r w:rsidRPr="00E71FFE">
        <w:rPr>
          <w:rFonts w:asciiTheme="majorHAnsi" w:eastAsia="Times New Roman" w:hAnsiTheme="majorHAnsi" w:cs="Times New Roman"/>
          <w:b/>
          <w:bCs/>
          <w:kern w:val="0"/>
          <w:sz w:val="36"/>
          <w:szCs w:val="36"/>
          <w14:ligatures w14:val="none"/>
        </w:rPr>
        <w:t>Conclusion</w:t>
      </w:r>
    </w:p>
    <w:p w14:paraId="4C88F8E6"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This study highlights the complexity of measuring forest change in a dynamic conservation landscape like PICOP, Bislig. By leveraging satellite-derived NDVI, it demonstrates that estimates of forest cover change are highly sensitive to the analytical threshold applied, underscoring the necessity for careful calibration and transparent reporting in remote sensing analyses.</w:t>
      </w:r>
    </w:p>
    <w:p w14:paraId="3DC17D40"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The comparison with Global Forest Watch data reinforces a broader conservation lesson: the ecological value of human-modified and fragmented forests should not be underestimated. As supported by existing research, disturbed landscapes in Mindanao, including agroforests within protected areas, can serve as vital refugia for threatened and endemic biodiversity (Tabora et al., 2023; Panopio et al., 2021; Zapanta et al., 2019). This evidence points to an urgent need to expand conservation efforts beyond pristine, intact forests to encompass these critically important, human-modified landscapes.</w:t>
      </w:r>
    </w:p>
    <w:p w14:paraId="7CAB3BD4" w14:textId="08C187A4" w:rsidR="00E71FFE" w:rsidRPr="00D5732E" w:rsidRDefault="00E71FFE" w:rsidP="00D5732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Protecting sites like PICOP demands the implementation of adaptive, fine-scale monitoring and the formal integration of disturbed yet ecologically significant habitats into conservation policy and practice. The need for targeted, site-level action is clear if Mindanao’s irreplaceable forest ecosystems and their unique biodiversity are to be secured for the future.</w:t>
      </w:r>
    </w:p>
    <w:p w14:paraId="5FBE7B33" w14:textId="37D4E03C" w:rsidR="00E71FFE" w:rsidRPr="00E71FFE" w:rsidRDefault="00E71FFE" w:rsidP="00E71FFE">
      <w:pPr>
        <w:spacing w:before="100" w:beforeAutospacing="1" w:after="100" w:afterAutospacing="1"/>
        <w:jc w:val="left"/>
        <w:outlineLvl w:val="1"/>
        <w:rPr>
          <w:rFonts w:asciiTheme="majorHAnsi" w:eastAsia="Times New Roman" w:hAnsiTheme="majorHAnsi" w:cs="Times New Roman"/>
          <w:b/>
          <w:bCs/>
          <w:kern w:val="0"/>
          <w:sz w:val="36"/>
          <w:szCs w:val="36"/>
          <w14:ligatures w14:val="none"/>
        </w:rPr>
      </w:pPr>
      <w:r w:rsidRPr="00E71FFE">
        <w:rPr>
          <w:rFonts w:asciiTheme="majorHAnsi" w:eastAsia="Times New Roman" w:hAnsiTheme="majorHAnsi" w:cs="Times New Roman"/>
          <w:b/>
          <w:bCs/>
          <w:kern w:val="0"/>
          <w:sz w:val="36"/>
          <w:szCs w:val="36"/>
          <w14:ligatures w14:val="none"/>
        </w:rPr>
        <w:t>References</w:t>
      </w:r>
    </w:p>
    <w:p w14:paraId="2989384F"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proofErr w:type="spellStart"/>
      <w:r w:rsidRPr="00E71FFE">
        <w:rPr>
          <w:rFonts w:asciiTheme="majorHAnsi" w:eastAsia="Times New Roman" w:hAnsiTheme="majorHAnsi" w:cs="Times New Roman"/>
          <w:kern w:val="0"/>
          <w14:ligatures w14:val="none"/>
        </w:rPr>
        <w:t>Agduma</w:t>
      </w:r>
      <w:proofErr w:type="spellEnd"/>
      <w:r w:rsidRPr="00E71FFE">
        <w:rPr>
          <w:rFonts w:asciiTheme="majorHAnsi" w:eastAsia="Times New Roman" w:hAnsiTheme="majorHAnsi" w:cs="Times New Roman"/>
          <w:kern w:val="0"/>
          <w14:ligatures w14:val="none"/>
        </w:rPr>
        <w:t xml:space="preserve">, A. R., Garcia, F. G., </w:t>
      </w:r>
      <w:proofErr w:type="spellStart"/>
      <w:r w:rsidRPr="00E71FFE">
        <w:rPr>
          <w:rFonts w:asciiTheme="majorHAnsi" w:eastAsia="Times New Roman" w:hAnsiTheme="majorHAnsi" w:cs="Times New Roman"/>
          <w:kern w:val="0"/>
          <w14:ligatures w14:val="none"/>
        </w:rPr>
        <w:t>Cabasan</w:t>
      </w:r>
      <w:proofErr w:type="spellEnd"/>
      <w:r w:rsidRPr="00E71FFE">
        <w:rPr>
          <w:rFonts w:asciiTheme="majorHAnsi" w:eastAsia="Times New Roman" w:hAnsiTheme="majorHAnsi" w:cs="Times New Roman"/>
          <w:kern w:val="0"/>
          <w14:ligatures w14:val="none"/>
        </w:rPr>
        <w:t xml:space="preserve">, M. T., Pimentel, J., Ele, R. J., Rubio, M., Murray, S., Hilario-Husain, B. A., Cruz, K. C. D., Abdullah, S., &amp; </w:t>
      </w:r>
      <w:proofErr w:type="spellStart"/>
      <w:r w:rsidRPr="00E71FFE">
        <w:rPr>
          <w:rFonts w:asciiTheme="majorHAnsi" w:eastAsia="Times New Roman" w:hAnsiTheme="majorHAnsi" w:cs="Times New Roman"/>
          <w:kern w:val="0"/>
          <w14:ligatures w14:val="none"/>
        </w:rPr>
        <w:t>Balase</w:t>
      </w:r>
      <w:proofErr w:type="spellEnd"/>
      <w:r w:rsidRPr="00E71FFE">
        <w:rPr>
          <w:rFonts w:asciiTheme="majorHAnsi" w:eastAsia="Times New Roman" w:hAnsiTheme="majorHAnsi" w:cs="Times New Roman"/>
          <w:kern w:val="0"/>
          <w14:ligatures w14:val="none"/>
        </w:rPr>
        <w:t xml:space="preserve">, S. M. (2023). Overview of priorities, threats, and challenges to biodiversity conservation in the southern Philippines. </w:t>
      </w:r>
      <w:r w:rsidRPr="00E71FFE">
        <w:rPr>
          <w:rFonts w:asciiTheme="majorHAnsi" w:eastAsia="Times New Roman" w:hAnsiTheme="majorHAnsi" w:cs="Times New Roman"/>
          <w:i/>
          <w:iCs/>
          <w:kern w:val="0"/>
          <w14:ligatures w14:val="none"/>
        </w:rPr>
        <w:t>Regional Sustainability, 4</w:t>
      </w:r>
      <w:r w:rsidRPr="00E71FFE">
        <w:rPr>
          <w:rFonts w:asciiTheme="majorHAnsi" w:eastAsia="Times New Roman" w:hAnsiTheme="majorHAnsi" w:cs="Times New Roman"/>
          <w:kern w:val="0"/>
          <w14:ligatures w14:val="none"/>
        </w:rPr>
        <w:t>(2), 203–213. https://doi.org/10.1016/j.regsus.2023.05.003</w:t>
      </w:r>
    </w:p>
    <w:p w14:paraId="1041EDF1"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 xml:space="preserve">Apan, A., Suarez, L. A., </w:t>
      </w:r>
      <w:proofErr w:type="spellStart"/>
      <w:r w:rsidRPr="00E71FFE">
        <w:rPr>
          <w:rFonts w:asciiTheme="majorHAnsi" w:eastAsia="Times New Roman" w:hAnsiTheme="majorHAnsi" w:cs="Times New Roman"/>
          <w:kern w:val="0"/>
          <w14:ligatures w14:val="none"/>
        </w:rPr>
        <w:t>Maraseni</w:t>
      </w:r>
      <w:proofErr w:type="spellEnd"/>
      <w:r w:rsidRPr="00E71FFE">
        <w:rPr>
          <w:rFonts w:asciiTheme="majorHAnsi" w:eastAsia="Times New Roman" w:hAnsiTheme="majorHAnsi" w:cs="Times New Roman"/>
          <w:kern w:val="0"/>
          <w14:ligatures w14:val="none"/>
        </w:rPr>
        <w:t xml:space="preserve">, T., &amp; Castillo, J. A. (2017). The rate, extent and spatial predictors of forest loss (2000–2012) in the terrestrial protected areas of the Philippines. </w:t>
      </w:r>
      <w:r w:rsidRPr="00E71FFE">
        <w:rPr>
          <w:rFonts w:asciiTheme="majorHAnsi" w:eastAsia="Times New Roman" w:hAnsiTheme="majorHAnsi" w:cs="Times New Roman"/>
          <w:i/>
          <w:iCs/>
          <w:kern w:val="0"/>
          <w14:ligatures w14:val="none"/>
        </w:rPr>
        <w:t>Applied Geography, 81</w:t>
      </w:r>
      <w:r w:rsidRPr="00E71FFE">
        <w:rPr>
          <w:rFonts w:asciiTheme="majorHAnsi" w:eastAsia="Times New Roman" w:hAnsiTheme="majorHAnsi" w:cs="Times New Roman"/>
          <w:kern w:val="0"/>
          <w14:ligatures w14:val="none"/>
        </w:rPr>
        <w:t>, 32–42. https://doi.org/10.1016/j.apgeog.2017.02.007</w:t>
      </w:r>
    </w:p>
    <w:p w14:paraId="4C51F5B7"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proofErr w:type="spellStart"/>
      <w:r w:rsidRPr="00E71FFE">
        <w:rPr>
          <w:rFonts w:asciiTheme="majorHAnsi" w:eastAsia="Times New Roman" w:hAnsiTheme="majorHAnsi" w:cs="Times New Roman"/>
          <w:kern w:val="0"/>
          <w14:ligatures w14:val="none"/>
        </w:rPr>
        <w:t>BirdLife</w:t>
      </w:r>
      <w:proofErr w:type="spellEnd"/>
      <w:r w:rsidRPr="00E71FFE">
        <w:rPr>
          <w:rFonts w:asciiTheme="majorHAnsi" w:eastAsia="Times New Roman" w:hAnsiTheme="majorHAnsi" w:cs="Times New Roman"/>
          <w:kern w:val="0"/>
          <w14:ligatures w14:val="none"/>
        </w:rPr>
        <w:t xml:space="preserve"> International (2025) Site factsheet: Bislig. Downloaded from https://datazone.birdlife.org/site/factsheet/9786-bislig on 14 November 2025.</w:t>
      </w:r>
    </w:p>
    <w:p w14:paraId="7F4C4C09"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proofErr w:type="spellStart"/>
      <w:r w:rsidRPr="00E71FFE">
        <w:rPr>
          <w:rFonts w:asciiTheme="majorHAnsi" w:eastAsia="Times New Roman" w:hAnsiTheme="majorHAnsi" w:cs="Times New Roman"/>
          <w:kern w:val="0"/>
          <w14:ligatures w14:val="none"/>
        </w:rPr>
        <w:lastRenderedPageBreak/>
        <w:t>Birdtour</w:t>
      </w:r>
      <w:proofErr w:type="spellEnd"/>
      <w:r w:rsidRPr="00E71FFE">
        <w:rPr>
          <w:rFonts w:asciiTheme="majorHAnsi" w:eastAsia="Times New Roman" w:hAnsiTheme="majorHAnsi" w:cs="Times New Roman"/>
          <w:kern w:val="0"/>
          <w14:ligatures w14:val="none"/>
        </w:rPr>
        <w:t xml:space="preserve"> Asia. (2025). </w:t>
      </w:r>
      <w:r w:rsidRPr="00E71FFE">
        <w:rPr>
          <w:rFonts w:asciiTheme="majorHAnsi" w:eastAsia="Times New Roman" w:hAnsiTheme="majorHAnsi" w:cs="Times New Roman"/>
          <w:i/>
          <w:iCs/>
          <w:kern w:val="0"/>
          <w14:ligatures w14:val="none"/>
        </w:rPr>
        <w:t>Philippines 2027</w:t>
      </w:r>
      <w:r w:rsidRPr="00E71FFE">
        <w:rPr>
          <w:rFonts w:asciiTheme="majorHAnsi" w:eastAsia="Times New Roman" w:hAnsiTheme="majorHAnsi" w:cs="Times New Roman"/>
          <w:kern w:val="0"/>
          <w14:ligatures w14:val="none"/>
        </w:rPr>
        <w:t>. Retrieved 14 November 2025, from https://www.birdtourasia.com/philippines2027</w:t>
      </w:r>
    </w:p>
    <w:p w14:paraId="2D0DFE51"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European Space Agency (2025). Copernicus browser. Copernicus Data Space Ecosystem. Retrieved November 14, 2025, from https://browser.dataspace.copernicus.eu/</w:t>
      </w:r>
    </w:p>
    <w:p w14:paraId="0CE22572"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Forest Management Bureau (2021). Philippine forestry statistics 2021. Accessed from https://drive.google.com/file/d/1V2JS74DPvMc4A8r3AJwrMDoAmXptI9f/view?usp1⁄4embed_facebook on 14 November 2025.</w:t>
      </w:r>
    </w:p>
    <w:p w14:paraId="5AC34CD8"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Global Forest Watch. (2025). Area of interest dashboard. Global Forest Watch. https://www.globalforestwatch.org/dashboards/aoi/68cc0c7e387a230015df4f4c/?map=eyJjYW5Cb3VuZCI6dHJ1ZX0%3D. Accessed on 15 November 2025.</w:t>
      </w:r>
    </w:p>
    <w:p w14:paraId="1167F0C9"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 xml:space="preserve">Heaney, L. R., &amp; Regalado, J. C., Jr. (1998). </w:t>
      </w:r>
      <w:r w:rsidRPr="00E71FFE">
        <w:rPr>
          <w:rFonts w:asciiTheme="majorHAnsi" w:eastAsia="Times New Roman" w:hAnsiTheme="majorHAnsi" w:cs="Times New Roman"/>
          <w:i/>
          <w:iCs/>
          <w:kern w:val="0"/>
          <w14:ligatures w14:val="none"/>
        </w:rPr>
        <w:t>Vanishing treasures of the Philippine rain forest</w:t>
      </w:r>
      <w:r w:rsidRPr="00E71FFE">
        <w:rPr>
          <w:rFonts w:asciiTheme="majorHAnsi" w:eastAsia="Times New Roman" w:hAnsiTheme="majorHAnsi" w:cs="Times New Roman"/>
          <w:kern w:val="0"/>
          <w14:ligatures w14:val="none"/>
        </w:rPr>
        <w:t>. Illinois: The Field Museum.</w:t>
      </w:r>
    </w:p>
    <w:p w14:paraId="5B8CFB3A"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 xml:space="preserve">Malonzo, D., &amp; </w:t>
      </w:r>
      <w:proofErr w:type="spellStart"/>
      <w:r w:rsidRPr="00E71FFE">
        <w:rPr>
          <w:rFonts w:asciiTheme="majorHAnsi" w:eastAsia="Times New Roman" w:hAnsiTheme="majorHAnsi" w:cs="Times New Roman"/>
          <w:kern w:val="0"/>
          <w14:ligatures w14:val="none"/>
        </w:rPr>
        <w:t>Orodio</w:t>
      </w:r>
      <w:proofErr w:type="spellEnd"/>
      <w:r w:rsidRPr="00E71FFE">
        <w:rPr>
          <w:rFonts w:asciiTheme="majorHAnsi" w:eastAsia="Times New Roman" w:hAnsiTheme="majorHAnsi" w:cs="Times New Roman"/>
          <w:kern w:val="0"/>
          <w14:ligatures w14:val="none"/>
        </w:rPr>
        <w:t>, R. (2025, April 12). Club Trip: PICOP January 2025. Wild Bird Club of the Philippines. https://birdwatch.ph/club-trip-picop-january-2025/ Accessed on 13 November 2025.</w:t>
      </w:r>
    </w:p>
    <w:p w14:paraId="4A8EC05A"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 xml:space="preserve">Panopio, J. K., Pajaro, M., Grande, J. M., Dela Torre, M., </w:t>
      </w:r>
      <w:proofErr w:type="spellStart"/>
      <w:r w:rsidRPr="00E71FFE">
        <w:rPr>
          <w:rFonts w:asciiTheme="majorHAnsi" w:eastAsia="Times New Roman" w:hAnsiTheme="majorHAnsi" w:cs="Times New Roman"/>
          <w:kern w:val="0"/>
          <w14:ligatures w14:val="none"/>
        </w:rPr>
        <w:t>Raquino</w:t>
      </w:r>
      <w:proofErr w:type="spellEnd"/>
      <w:r w:rsidRPr="00E71FFE">
        <w:rPr>
          <w:rFonts w:asciiTheme="majorHAnsi" w:eastAsia="Times New Roman" w:hAnsiTheme="majorHAnsi" w:cs="Times New Roman"/>
          <w:kern w:val="0"/>
          <w14:ligatures w14:val="none"/>
        </w:rPr>
        <w:t xml:space="preserve">, M., &amp; Watts, P. (2021). Conservation Letter: Deforestation—The Philippine Eagle as a case study in developing local management partnerships with Indigenous Peoples. </w:t>
      </w:r>
      <w:r w:rsidRPr="00E71FFE">
        <w:rPr>
          <w:rFonts w:asciiTheme="majorHAnsi" w:eastAsia="Times New Roman" w:hAnsiTheme="majorHAnsi" w:cs="Times New Roman"/>
          <w:i/>
          <w:iCs/>
          <w:kern w:val="0"/>
          <w14:ligatures w14:val="none"/>
        </w:rPr>
        <w:t>Journal of Raptor Research, 55</w:t>
      </w:r>
      <w:r w:rsidRPr="00E71FFE">
        <w:rPr>
          <w:rFonts w:asciiTheme="majorHAnsi" w:eastAsia="Times New Roman" w:hAnsiTheme="majorHAnsi" w:cs="Times New Roman"/>
          <w:kern w:val="0"/>
          <w14:ligatures w14:val="none"/>
        </w:rPr>
        <w:t>(3), 460–467.</w:t>
      </w:r>
    </w:p>
    <w:p w14:paraId="61762631"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 xml:space="preserve">Posa, M. R. C., &amp; Sodhi, N. (2006). Effects of anthropogenic land use on forest birds and butterflies in Subic Bay, Philippines. </w:t>
      </w:r>
      <w:r w:rsidRPr="00E71FFE">
        <w:rPr>
          <w:rFonts w:asciiTheme="majorHAnsi" w:eastAsia="Times New Roman" w:hAnsiTheme="majorHAnsi" w:cs="Times New Roman"/>
          <w:i/>
          <w:iCs/>
          <w:kern w:val="0"/>
          <w14:ligatures w14:val="none"/>
        </w:rPr>
        <w:t>Biological Conservation, 129</w:t>
      </w:r>
      <w:r w:rsidRPr="00E71FFE">
        <w:rPr>
          <w:rFonts w:asciiTheme="majorHAnsi" w:eastAsia="Times New Roman" w:hAnsiTheme="majorHAnsi" w:cs="Times New Roman"/>
          <w:kern w:val="0"/>
          <w14:ligatures w14:val="none"/>
        </w:rPr>
        <w:t>(2), 256–270. https://doi.org/10.1016/j.biocon.2005.10.041</w:t>
      </w:r>
    </w:p>
    <w:p w14:paraId="0CA41C6A"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proofErr w:type="spellStart"/>
      <w:r w:rsidRPr="00E71FFE">
        <w:rPr>
          <w:rFonts w:asciiTheme="majorHAnsi" w:eastAsia="Times New Roman" w:hAnsiTheme="majorHAnsi" w:cs="Times New Roman"/>
          <w:kern w:val="0"/>
          <w14:ligatures w14:val="none"/>
        </w:rPr>
        <w:t>Recuenco</w:t>
      </w:r>
      <w:proofErr w:type="spellEnd"/>
      <w:r w:rsidRPr="00E71FFE">
        <w:rPr>
          <w:rFonts w:asciiTheme="majorHAnsi" w:eastAsia="Times New Roman" w:hAnsiTheme="majorHAnsi" w:cs="Times New Roman"/>
          <w:kern w:val="0"/>
          <w14:ligatures w14:val="none"/>
        </w:rPr>
        <w:t xml:space="preserve">, A. (2022, November 9). DENR identifies 9M hectares of potential mining areas. </w:t>
      </w:r>
      <w:r w:rsidRPr="00E71FFE">
        <w:rPr>
          <w:rFonts w:asciiTheme="majorHAnsi" w:eastAsia="Times New Roman" w:hAnsiTheme="majorHAnsi" w:cs="Times New Roman"/>
          <w:i/>
          <w:iCs/>
          <w:kern w:val="0"/>
          <w14:ligatures w14:val="none"/>
        </w:rPr>
        <w:t>Manila Bulletin</w:t>
      </w:r>
      <w:r w:rsidRPr="00E71FFE">
        <w:rPr>
          <w:rFonts w:asciiTheme="majorHAnsi" w:eastAsia="Times New Roman" w:hAnsiTheme="majorHAnsi" w:cs="Times New Roman"/>
          <w:kern w:val="0"/>
          <w14:ligatures w14:val="none"/>
        </w:rPr>
        <w:t>. https://mb.com.ph//2022/11/09/denr-identifies-9m-hectares-of-potential-mining-areas/</w:t>
      </w:r>
    </w:p>
    <w:p w14:paraId="0EE2D698"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 xml:space="preserve">Robson, C. (2023). Classic Philippines tour report 2023. </w:t>
      </w:r>
      <w:proofErr w:type="spellStart"/>
      <w:r w:rsidRPr="00E71FFE">
        <w:rPr>
          <w:rFonts w:asciiTheme="majorHAnsi" w:eastAsia="Times New Roman" w:hAnsiTheme="majorHAnsi" w:cs="Times New Roman"/>
          <w:kern w:val="0"/>
          <w14:ligatures w14:val="none"/>
        </w:rPr>
        <w:t>Birdquest</w:t>
      </w:r>
      <w:proofErr w:type="spellEnd"/>
      <w:r w:rsidRPr="00E71FFE">
        <w:rPr>
          <w:rFonts w:asciiTheme="majorHAnsi" w:eastAsia="Times New Roman" w:hAnsiTheme="majorHAnsi" w:cs="Times New Roman"/>
          <w:kern w:val="0"/>
          <w14:ligatures w14:val="none"/>
        </w:rPr>
        <w:t>. https://www.birdquest-tours.com/birding-tours/classic-philippines/tour-report/2023/</w:t>
      </w:r>
    </w:p>
    <w:p w14:paraId="2F4F2EA8"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 xml:space="preserve">Tabora, J. A. G., Ancog, R. C., Sanchez, P. A. J., Arboleda, M. D. M., Lit, Jr., I. L., &amp; </w:t>
      </w:r>
      <w:proofErr w:type="spellStart"/>
      <w:r w:rsidRPr="00E71FFE">
        <w:rPr>
          <w:rFonts w:asciiTheme="majorHAnsi" w:eastAsia="Times New Roman" w:hAnsiTheme="majorHAnsi" w:cs="Times New Roman"/>
          <w:kern w:val="0"/>
          <w14:ligatures w14:val="none"/>
        </w:rPr>
        <w:t>Tiburan</w:t>
      </w:r>
      <w:proofErr w:type="spellEnd"/>
      <w:r w:rsidRPr="00E71FFE">
        <w:rPr>
          <w:rFonts w:asciiTheme="majorHAnsi" w:eastAsia="Times New Roman" w:hAnsiTheme="majorHAnsi" w:cs="Times New Roman"/>
          <w:kern w:val="0"/>
          <w14:ligatures w14:val="none"/>
        </w:rPr>
        <w:t xml:space="preserve">, Jr., C. L. (2023). The last stand of a watershed forest in Southern Philippines: A case study of land cover and biodiversity. </w:t>
      </w:r>
      <w:proofErr w:type="spellStart"/>
      <w:r w:rsidRPr="00E71FFE">
        <w:rPr>
          <w:rFonts w:asciiTheme="majorHAnsi" w:eastAsia="Times New Roman" w:hAnsiTheme="majorHAnsi" w:cs="Times New Roman"/>
          <w:i/>
          <w:iCs/>
          <w:kern w:val="0"/>
          <w14:ligatures w14:val="none"/>
        </w:rPr>
        <w:t>Biodiversitas</w:t>
      </w:r>
      <w:proofErr w:type="spellEnd"/>
      <w:r w:rsidRPr="00E71FFE">
        <w:rPr>
          <w:rFonts w:asciiTheme="majorHAnsi" w:eastAsia="Times New Roman" w:hAnsiTheme="majorHAnsi" w:cs="Times New Roman"/>
          <w:i/>
          <w:iCs/>
          <w:kern w:val="0"/>
          <w14:ligatures w14:val="none"/>
        </w:rPr>
        <w:t>, 24</w:t>
      </w:r>
      <w:r w:rsidRPr="00E71FFE">
        <w:rPr>
          <w:rFonts w:asciiTheme="majorHAnsi" w:eastAsia="Times New Roman" w:hAnsiTheme="majorHAnsi" w:cs="Times New Roman"/>
          <w:kern w:val="0"/>
          <w14:ligatures w14:val="none"/>
        </w:rPr>
        <w:t>(3), 1438–1449. https://doi.org/10.13057/biodiv/d240313</w:t>
      </w:r>
    </w:p>
    <w:p w14:paraId="0BBDA7AB"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World Resources Institute. (2025). Data &amp; methods. Global Forest Review. https://gfr.wri.org/data-methods. Accessed on 15 November 2025.</w:t>
      </w:r>
    </w:p>
    <w:p w14:paraId="05D60D49"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lastRenderedPageBreak/>
        <w:t xml:space="preserve">Yong, D. L., &amp; Low, B. W. (2018). </w:t>
      </w:r>
      <w:r w:rsidRPr="00E71FFE">
        <w:rPr>
          <w:rFonts w:asciiTheme="majorHAnsi" w:eastAsia="Times New Roman" w:hAnsiTheme="majorHAnsi" w:cs="Times New Roman"/>
          <w:i/>
          <w:iCs/>
          <w:kern w:val="0"/>
          <w14:ligatures w14:val="none"/>
        </w:rPr>
        <w:t>The 125 best birdwatching sites in Southeast Asia</w:t>
      </w:r>
      <w:r w:rsidRPr="00E71FFE">
        <w:rPr>
          <w:rFonts w:asciiTheme="majorHAnsi" w:eastAsia="Times New Roman" w:hAnsiTheme="majorHAnsi" w:cs="Times New Roman"/>
          <w:kern w:val="0"/>
          <w14:ligatures w14:val="none"/>
        </w:rPr>
        <w:t>. John Beaufoy Publishing.</w:t>
      </w:r>
    </w:p>
    <w:p w14:paraId="7FC86BE7" w14:textId="77777777" w:rsidR="00E71FFE" w:rsidRPr="00E71FFE" w:rsidRDefault="00E71FFE" w:rsidP="00E71FFE">
      <w:pPr>
        <w:spacing w:before="100" w:beforeAutospacing="1" w:after="100" w:afterAutospacing="1"/>
        <w:rPr>
          <w:rFonts w:asciiTheme="majorHAnsi" w:eastAsia="Times New Roman" w:hAnsiTheme="majorHAnsi" w:cs="Times New Roman"/>
          <w:kern w:val="0"/>
          <w14:ligatures w14:val="none"/>
        </w:rPr>
      </w:pPr>
      <w:r w:rsidRPr="00E71FFE">
        <w:rPr>
          <w:rFonts w:asciiTheme="majorHAnsi" w:eastAsia="Times New Roman" w:hAnsiTheme="majorHAnsi" w:cs="Times New Roman"/>
          <w:kern w:val="0"/>
          <w14:ligatures w14:val="none"/>
        </w:rPr>
        <w:t xml:space="preserve">Zapanta, B. R., </w:t>
      </w:r>
      <w:proofErr w:type="spellStart"/>
      <w:r w:rsidRPr="00E71FFE">
        <w:rPr>
          <w:rFonts w:asciiTheme="majorHAnsi" w:eastAsia="Times New Roman" w:hAnsiTheme="majorHAnsi" w:cs="Times New Roman"/>
          <w:kern w:val="0"/>
          <w14:ligatures w14:val="none"/>
        </w:rPr>
        <w:t>Achondo</w:t>
      </w:r>
      <w:proofErr w:type="spellEnd"/>
      <w:r w:rsidRPr="00E71FFE">
        <w:rPr>
          <w:rFonts w:asciiTheme="majorHAnsi" w:eastAsia="Times New Roman" w:hAnsiTheme="majorHAnsi" w:cs="Times New Roman"/>
          <w:kern w:val="0"/>
          <w14:ligatures w14:val="none"/>
        </w:rPr>
        <w:t xml:space="preserve">, M. J. M. M., </w:t>
      </w:r>
      <w:proofErr w:type="spellStart"/>
      <w:r w:rsidRPr="00E71FFE">
        <w:rPr>
          <w:rFonts w:asciiTheme="majorHAnsi" w:eastAsia="Times New Roman" w:hAnsiTheme="majorHAnsi" w:cs="Times New Roman"/>
          <w:kern w:val="0"/>
          <w14:ligatures w14:val="none"/>
        </w:rPr>
        <w:t>Raganas</w:t>
      </w:r>
      <w:proofErr w:type="spellEnd"/>
      <w:r w:rsidRPr="00E71FFE">
        <w:rPr>
          <w:rFonts w:asciiTheme="majorHAnsi" w:eastAsia="Times New Roman" w:hAnsiTheme="majorHAnsi" w:cs="Times New Roman"/>
          <w:kern w:val="0"/>
          <w14:ligatures w14:val="none"/>
        </w:rPr>
        <w:t xml:space="preserve">, A. F. M., Camino, F. A., Delima, A. G. D., </w:t>
      </w:r>
      <w:proofErr w:type="spellStart"/>
      <w:r w:rsidRPr="00E71FFE">
        <w:rPr>
          <w:rFonts w:asciiTheme="majorHAnsi" w:eastAsia="Times New Roman" w:hAnsiTheme="majorHAnsi" w:cs="Times New Roman"/>
          <w:kern w:val="0"/>
          <w14:ligatures w14:val="none"/>
        </w:rPr>
        <w:t>Mantiquilla</w:t>
      </w:r>
      <w:proofErr w:type="spellEnd"/>
      <w:r w:rsidRPr="00E71FFE">
        <w:rPr>
          <w:rFonts w:asciiTheme="majorHAnsi" w:eastAsia="Times New Roman" w:hAnsiTheme="majorHAnsi" w:cs="Times New Roman"/>
          <w:kern w:val="0"/>
          <w14:ligatures w14:val="none"/>
        </w:rPr>
        <w:t xml:space="preserve">, J. A., </w:t>
      </w:r>
      <w:proofErr w:type="spellStart"/>
      <w:r w:rsidRPr="00E71FFE">
        <w:rPr>
          <w:rFonts w:asciiTheme="majorHAnsi" w:eastAsia="Times New Roman" w:hAnsiTheme="majorHAnsi" w:cs="Times New Roman"/>
          <w:kern w:val="0"/>
          <w14:ligatures w14:val="none"/>
        </w:rPr>
        <w:t>Puentespina</w:t>
      </w:r>
      <w:proofErr w:type="spellEnd"/>
      <w:r w:rsidRPr="00E71FFE">
        <w:rPr>
          <w:rFonts w:asciiTheme="majorHAnsi" w:eastAsia="Times New Roman" w:hAnsiTheme="majorHAnsi" w:cs="Times New Roman"/>
          <w:kern w:val="0"/>
          <w14:ligatures w14:val="none"/>
        </w:rPr>
        <w:t xml:space="preserve">, Jr. R. P., &amp; </w:t>
      </w:r>
      <w:proofErr w:type="spellStart"/>
      <w:r w:rsidRPr="00E71FFE">
        <w:rPr>
          <w:rFonts w:asciiTheme="majorHAnsi" w:eastAsia="Times New Roman" w:hAnsiTheme="majorHAnsi" w:cs="Times New Roman"/>
          <w:kern w:val="0"/>
          <w14:ligatures w14:val="none"/>
        </w:rPr>
        <w:t>Salvaña</w:t>
      </w:r>
      <w:proofErr w:type="spellEnd"/>
      <w:r w:rsidRPr="00E71FFE">
        <w:rPr>
          <w:rFonts w:asciiTheme="majorHAnsi" w:eastAsia="Times New Roman" w:hAnsiTheme="majorHAnsi" w:cs="Times New Roman"/>
          <w:kern w:val="0"/>
          <w14:ligatures w14:val="none"/>
        </w:rPr>
        <w:t xml:space="preserve">, F. R. P. (2019). Species richness of trees in disturbed habitats within a protected area and its implications for conservation: The case of Mt. Apo Natural Park, Mindanao Island, Philippines. </w:t>
      </w:r>
      <w:proofErr w:type="spellStart"/>
      <w:r w:rsidRPr="00E71FFE">
        <w:rPr>
          <w:rFonts w:asciiTheme="majorHAnsi" w:eastAsia="Times New Roman" w:hAnsiTheme="majorHAnsi" w:cs="Times New Roman"/>
          <w:i/>
          <w:iCs/>
          <w:kern w:val="0"/>
          <w14:ligatures w14:val="none"/>
        </w:rPr>
        <w:t>Biodiversitas</w:t>
      </w:r>
      <w:proofErr w:type="spellEnd"/>
      <w:r w:rsidRPr="00E71FFE">
        <w:rPr>
          <w:rFonts w:asciiTheme="majorHAnsi" w:eastAsia="Times New Roman" w:hAnsiTheme="majorHAnsi" w:cs="Times New Roman"/>
          <w:i/>
          <w:iCs/>
          <w:kern w:val="0"/>
          <w14:ligatures w14:val="none"/>
        </w:rPr>
        <w:t>, 20</w:t>
      </w:r>
      <w:r w:rsidRPr="00E71FFE">
        <w:rPr>
          <w:rFonts w:asciiTheme="majorHAnsi" w:eastAsia="Times New Roman" w:hAnsiTheme="majorHAnsi" w:cs="Times New Roman"/>
          <w:kern w:val="0"/>
          <w14:ligatures w14:val="none"/>
        </w:rPr>
        <w:t>(7), 2081–2091. https://doi.org/10.13057/biodiv/d200740</w:t>
      </w:r>
    </w:p>
    <w:p w14:paraId="3FFB7740" w14:textId="77777777" w:rsidR="00E71FFE" w:rsidRPr="00E71FFE" w:rsidRDefault="00E71FFE">
      <w:pPr>
        <w:rPr>
          <w:rFonts w:asciiTheme="majorHAnsi" w:hAnsiTheme="majorHAnsi"/>
        </w:rPr>
      </w:pPr>
    </w:p>
    <w:sectPr w:rsidR="00E71FFE" w:rsidRPr="00E71FFE">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C66AE" w14:textId="77777777" w:rsidR="0013261B" w:rsidRDefault="0013261B" w:rsidP="00E71FFE">
      <w:r>
        <w:separator/>
      </w:r>
    </w:p>
  </w:endnote>
  <w:endnote w:type="continuationSeparator" w:id="0">
    <w:p w14:paraId="5410CE17" w14:textId="77777777" w:rsidR="0013261B" w:rsidRDefault="0013261B" w:rsidP="00E71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9789672"/>
      <w:docPartObj>
        <w:docPartGallery w:val="Page Numbers (Bottom of Page)"/>
        <w:docPartUnique/>
      </w:docPartObj>
    </w:sdtPr>
    <w:sdtContent>
      <w:p w14:paraId="2A77EABB" w14:textId="7AF2F50E" w:rsidR="00E71FFE" w:rsidRDefault="00E71FFE" w:rsidP="00C37EF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63E2E02" w14:textId="77777777" w:rsidR="00E71FFE" w:rsidRDefault="00E71F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0079026"/>
      <w:docPartObj>
        <w:docPartGallery w:val="Page Numbers (Bottom of Page)"/>
        <w:docPartUnique/>
      </w:docPartObj>
    </w:sdtPr>
    <w:sdtContent>
      <w:p w14:paraId="4234FEF8" w14:textId="38D9195C" w:rsidR="00E71FFE" w:rsidRDefault="00E71FFE" w:rsidP="00C37EF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4AAA97E" w14:textId="77777777" w:rsidR="00E71FFE" w:rsidRDefault="00E71F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678E2" w14:textId="77777777" w:rsidR="0013261B" w:rsidRDefault="0013261B" w:rsidP="00E71FFE">
      <w:r>
        <w:separator/>
      </w:r>
    </w:p>
  </w:footnote>
  <w:footnote w:type="continuationSeparator" w:id="0">
    <w:p w14:paraId="108428E5" w14:textId="77777777" w:rsidR="0013261B" w:rsidRDefault="0013261B" w:rsidP="00E71F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FFE"/>
    <w:rsid w:val="0013261B"/>
    <w:rsid w:val="00144210"/>
    <w:rsid w:val="00744E4A"/>
    <w:rsid w:val="008B6AF3"/>
    <w:rsid w:val="008C4B2C"/>
    <w:rsid w:val="00D5732E"/>
    <w:rsid w:val="00E71FFE"/>
    <w:rsid w:val="00F82259"/>
    <w:rsid w:val="00FF0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6E57A2"/>
  <w15:chartTrackingRefBased/>
  <w15:docId w15:val="{385D1C58-EACC-DB47-B83B-EF2C36D4A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1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F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F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F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F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1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FFE"/>
    <w:rPr>
      <w:rFonts w:eastAsiaTheme="majorEastAsia" w:cstheme="majorBidi"/>
      <w:color w:val="272727" w:themeColor="text1" w:themeTint="D8"/>
    </w:rPr>
  </w:style>
  <w:style w:type="paragraph" w:styleId="Title">
    <w:name w:val="Title"/>
    <w:basedOn w:val="Normal"/>
    <w:next w:val="Normal"/>
    <w:link w:val="TitleChar"/>
    <w:uiPriority w:val="10"/>
    <w:qFormat/>
    <w:rsid w:val="00E71F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FF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F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1FFE"/>
    <w:rPr>
      <w:i/>
      <w:iCs/>
      <w:color w:val="404040" w:themeColor="text1" w:themeTint="BF"/>
    </w:rPr>
  </w:style>
  <w:style w:type="paragraph" w:styleId="ListParagraph">
    <w:name w:val="List Paragraph"/>
    <w:basedOn w:val="Normal"/>
    <w:uiPriority w:val="34"/>
    <w:qFormat/>
    <w:rsid w:val="00E71FFE"/>
    <w:pPr>
      <w:ind w:left="720"/>
      <w:contextualSpacing/>
    </w:pPr>
  </w:style>
  <w:style w:type="character" w:styleId="IntenseEmphasis">
    <w:name w:val="Intense Emphasis"/>
    <w:basedOn w:val="DefaultParagraphFont"/>
    <w:uiPriority w:val="21"/>
    <w:qFormat/>
    <w:rsid w:val="00E71FFE"/>
    <w:rPr>
      <w:i/>
      <w:iCs/>
      <w:color w:val="0F4761" w:themeColor="accent1" w:themeShade="BF"/>
    </w:rPr>
  </w:style>
  <w:style w:type="paragraph" w:styleId="IntenseQuote">
    <w:name w:val="Intense Quote"/>
    <w:basedOn w:val="Normal"/>
    <w:next w:val="Normal"/>
    <w:link w:val="IntenseQuoteChar"/>
    <w:uiPriority w:val="30"/>
    <w:qFormat/>
    <w:rsid w:val="00E71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FFE"/>
    <w:rPr>
      <w:i/>
      <w:iCs/>
      <w:color w:val="0F4761" w:themeColor="accent1" w:themeShade="BF"/>
    </w:rPr>
  </w:style>
  <w:style w:type="character" w:styleId="IntenseReference">
    <w:name w:val="Intense Reference"/>
    <w:basedOn w:val="DefaultParagraphFont"/>
    <w:uiPriority w:val="32"/>
    <w:qFormat/>
    <w:rsid w:val="00E71FFE"/>
    <w:rPr>
      <w:b/>
      <w:bCs/>
      <w:smallCaps/>
      <w:color w:val="0F4761" w:themeColor="accent1" w:themeShade="BF"/>
      <w:spacing w:val="5"/>
    </w:rPr>
  </w:style>
  <w:style w:type="paragraph" w:styleId="NormalWeb">
    <w:name w:val="Normal (Web)"/>
    <w:basedOn w:val="Normal"/>
    <w:uiPriority w:val="99"/>
    <w:semiHidden/>
    <w:unhideWhenUsed/>
    <w:rsid w:val="00E71FFE"/>
    <w:pPr>
      <w:spacing w:before="100" w:beforeAutospacing="1" w:after="100" w:afterAutospacing="1"/>
      <w:jc w:val="left"/>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71FFE"/>
    <w:rPr>
      <w:rFonts w:ascii="Courier New" w:eastAsia="Times New Roman" w:hAnsi="Courier New" w:cs="Courier New"/>
      <w:sz w:val="20"/>
      <w:szCs w:val="20"/>
    </w:rPr>
  </w:style>
  <w:style w:type="paragraph" w:styleId="Footer">
    <w:name w:val="footer"/>
    <w:basedOn w:val="Normal"/>
    <w:link w:val="FooterChar"/>
    <w:uiPriority w:val="99"/>
    <w:unhideWhenUsed/>
    <w:rsid w:val="00E71FFE"/>
    <w:pPr>
      <w:tabs>
        <w:tab w:val="center" w:pos="4680"/>
        <w:tab w:val="right" w:pos="9360"/>
      </w:tabs>
    </w:pPr>
  </w:style>
  <w:style w:type="character" w:customStyle="1" w:styleId="FooterChar">
    <w:name w:val="Footer Char"/>
    <w:basedOn w:val="DefaultParagraphFont"/>
    <w:link w:val="Footer"/>
    <w:uiPriority w:val="99"/>
    <w:rsid w:val="00E71FFE"/>
  </w:style>
  <w:style w:type="character" w:styleId="PageNumber">
    <w:name w:val="page number"/>
    <w:basedOn w:val="DefaultParagraphFont"/>
    <w:uiPriority w:val="99"/>
    <w:semiHidden/>
    <w:unhideWhenUsed/>
    <w:rsid w:val="00E71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2468</Words>
  <Characters>14069</Characters>
  <Application>Microsoft Office Word</Application>
  <DocSecurity>0</DocSecurity>
  <Lines>117</Lines>
  <Paragraphs>33</Paragraphs>
  <ScaleCrop>false</ScaleCrop>
  <Company/>
  <LinksUpToDate>false</LinksUpToDate>
  <CharactersWithSpaces>16504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 Lim</dc:creator>
  <cp:keywords/>
  <dc:description/>
  <cp:lastModifiedBy>Geoff Lim</cp:lastModifiedBy>
  <cp:revision>2</cp:revision>
  <dcterms:created xsi:type="dcterms:W3CDTF">2025-11-15T12:50:00Z</dcterms:created>
  <dcterms:modified xsi:type="dcterms:W3CDTF">2025-11-15T13:01:00Z</dcterms:modified>
</cp:coreProperties>
</file>