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CB300" w14:textId="77777777" w:rsidR="007B6C90" w:rsidRDefault="00000000">
      <w:r>
        <w:t xml:space="preserve">15 Nov 2025 </w:t>
      </w:r>
    </w:p>
    <w:p w14:paraId="71EBF704" w14:textId="77777777" w:rsidR="007B6C90" w:rsidRDefault="007B6C90"/>
    <w:p w14:paraId="04704380" w14:textId="77777777" w:rsidR="007B6C90" w:rsidRDefault="00000000">
      <w:pPr>
        <w:jc w:val="center"/>
        <w:rPr>
          <w:b/>
          <w:bCs/>
        </w:rPr>
      </w:pPr>
      <w:r>
        <w:rPr>
          <w:b/>
          <w:bCs/>
        </w:rPr>
        <w:t xml:space="preserve">ES 7018 – Independent Study (II) </w:t>
      </w:r>
    </w:p>
    <w:p w14:paraId="61DA4078" w14:textId="77777777" w:rsidR="007B6C90" w:rsidRDefault="00000000">
      <w:pPr>
        <w:jc w:val="center"/>
        <w:rPr>
          <w:b/>
          <w:bCs/>
        </w:rPr>
      </w:pPr>
      <w:r>
        <w:rPr>
          <w:b/>
          <w:bCs/>
          <w:color w:val="000000"/>
          <w:sz w:val="22"/>
          <w:szCs w:val="22"/>
        </w:rPr>
        <w:t> Spatial Processing and Analysis in R</w:t>
      </w:r>
    </w:p>
    <w:p w14:paraId="0CE81390" w14:textId="77777777" w:rsidR="007B6C90" w:rsidRDefault="007B6C90">
      <w:pPr>
        <w:jc w:val="center"/>
      </w:pPr>
    </w:p>
    <w:p w14:paraId="3E43383B" w14:textId="77777777" w:rsidR="007B6C90" w:rsidRDefault="00000000">
      <w:r>
        <w:t xml:space="preserve">Graduate student: </w:t>
      </w:r>
      <w:r>
        <w:tab/>
      </w:r>
      <w:r>
        <w:tab/>
        <w:t>Geoff Lim</w:t>
      </w:r>
    </w:p>
    <w:p w14:paraId="33D0FCC3" w14:textId="77777777" w:rsidR="007B6C90" w:rsidRDefault="00000000">
      <w:r>
        <w:t xml:space="preserve">Matriculation No: </w:t>
      </w:r>
      <w:r>
        <w:tab/>
      </w:r>
      <w:r>
        <w:tab/>
        <w:t>G2409151L</w:t>
      </w:r>
    </w:p>
    <w:p w14:paraId="737D89B2" w14:textId="77777777" w:rsidR="007B6C90" w:rsidRDefault="00000000">
      <w:pPr>
        <w:ind w:left="2880" w:hanging="2880"/>
      </w:pPr>
      <w:r>
        <w:t>Title of Project:</w:t>
      </w:r>
      <w:r>
        <w:tab/>
        <w:t xml:space="preserve">Geospatial Analysis of Forest Loss in PICOP, </w:t>
      </w:r>
      <w:proofErr w:type="spellStart"/>
      <w:r>
        <w:t>Bislig</w:t>
      </w:r>
      <w:proofErr w:type="spellEnd"/>
      <w:r>
        <w:t>, an Important Bird Area (IBA) in Mindanao</w:t>
      </w:r>
    </w:p>
    <w:p w14:paraId="32186F18" w14:textId="77777777" w:rsidR="007B6C90" w:rsidRDefault="007B6C90">
      <w:pPr>
        <w:rPr>
          <w:rFonts w:ascii="Play" w:eastAsia="Play" w:hAnsi="Play" w:cs="Play"/>
        </w:rPr>
      </w:pPr>
    </w:p>
    <w:p w14:paraId="6E6AC841" w14:textId="77777777" w:rsidR="007B6C90" w:rsidRDefault="00000000">
      <w:pPr>
        <w:spacing w:before="280" w:after="280"/>
        <w:jc w:val="left"/>
        <w:rPr>
          <w:rFonts w:ascii="Play" w:eastAsia="Play" w:hAnsi="Play" w:cs="Play"/>
          <w:b/>
          <w:bCs/>
          <w:sz w:val="36"/>
          <w:szCs w:val="36"/>
        </w:rPr>
      </w:pPr>
      <w:r>
        <w:rPr>
          <w:rFonts w:ascii="Play" w:eastAsia="Play" w:hAnsi="Play" w:cs="Play"/>
          <w:b/>
          <w:bCs/>
          <w:sz w:val="36"/>
          <w:szCs w:val="36"/>
        </w:rPr>
        <w:t>Introduction</w:t>
      </w:r>
    </w:p>
    <w:p w14:paraId="11914BF8" w14:textId="77777777" w:rsidR="007B6C90" w:rsidRDefault="00000000">
      <w:pPr>
        <w:spacing w:before="280" w:after="280"/>
        <w:rPr>
          <w:rFonts w:ascii="Play" w:eastAsia="Play" w:hAnsi="Play" w:cs="Play"/>
        </w:rPr>
      </w:pPr>
      <w:r>
        <w:rPr>
          <w:rFonts w:ascii="Play" w:eastAsia="Play" w:hAnsi="Play" w:cs="Play"/>
        </w:rPr>
        <w:t xml:space="preserve">The Philippines, a nation globally recognized as a hotspot of biodiversity, is simultaneously grappling with a severe deforestation crisis (Heaney and Regalado, 1998; Posa and Sodhi, 2006). Once extensively forested, the country's tree cover has been drastically reduced in recent decades, with current estimates at just 24.09% of the total land area (Forest Management Bureau, 2021; </w:t>
      </w:r>
      <w:proofErr w:type="spellStart"/>
      <w:r>
        <w:rPr>
          <w:rFonts w:ascii="Play" w:eastAsia="Play" w:hAnsi="Play" w:cs="Play"/>
        </w:rPr>
        <w:t>Agduma</w:t>
      </w:r>
      <w:proofErr w:type="spellEnd"/>
      <w:r>
        <w:rPr>
          <w:rFonts w:ascii="Play" w:eastAsia="Play" w:hAnsi="Play" w:cs="Play"/>
        </w:rPr>
        <w:t xml:space="preserve"> et al., 2023; Apan et al., 2017). The southern island of Mindanao, which constitutes 34% of the nation's landmass, </w:t>
      </w:r>
      <w:proofErr w:type="spellStart"/>
      <w:r>
        <w:rPr>
          <w:rFonts w:ascii="Play" w:eastAsia="Play" w:hAnsi="Play" w:cs="Play"/>
        </w:rPr>
        <w:t>harbours</w:t>
      </w:r>
      <w:proofErr w:type="spellEnd"/>
      <w:r>
        <w:rPr>
          <w:rFonts w:ascii="Play" w:eastAsia="Play" w:hAnsi="Play" w:cs="Play"/>
        </w:rPr>
        <w:t xml:space="preserve"> forests with a high degree of endemism, yet comprehensive biodiversity data for its unique fauna remains incomplete (</w:t>
      </w:r>
      <w:proofErr w:type="spellStart"/>
      <w:r>
        <w:rPr>
          <w:rFonts w:ascii="Play" w:eastAsia="Play" w:hAnsi="Play" w:cs="Play"/>
        </w:rPr>
        <w:t>Agduma</w:t>
      </w:r>
      <w:proofErr w:type="spellEnd"/>
      <w:r>
        <w:rPr>
          <w:rFonts w:ascii="Play" w:eastAsia="Play" w:hAnsi="Play" w:cs="Play"/>
        </w:rPr>
        <w:t xml:space="preserve"> et al., 2023). Deforestation in Mindanao is driven by multiple factors, including agricultural expansion through traditional </w:t>
      </w:r>
      <w:r>
        <w:rPr>
          <w:rFonts w:ascii="Play" w:eastAsia="Play" w:hAnsi="Play" w:cs="Play"/>
          <w:i/>
          <w:iCs/>
        </w:rPr>
        <w:t>kaingin</w:t>
      </w:r>
      <w:r>
        <w:rPr>
          <w:rFonts w:ascii="Play" w:eastAsia="Play" w:hAnsi="Play" w:cs="Play"/>
        </w:rPr>
        <w:t xml:space="preserve"> (shifting cultivation), the large-scale conversion of forests for cash crops, and the pervasive impacts of the mining and extraction industry (</w:t>
      </w:r>
      <w:proofErr w:type="spellStart"/>
      <w:r>
        <w:rPr>
          <w:rFonts w:ascii="Play" w:eastAsia="Play" w:hAnsi="Play" w:cs="Play"/>
        </w:rPr>
        <w:t>Agduma</w:t>
      </w:r>
      <w:proofErr w:type="spellEnd"/>
      <w:r>
        <w:rPr>
          <w:rFonts w:ascii="Play" w:eastAsia="Play" w:hAnsi="Play" w:cs="Play"/>
        </w:rPr>
        <w:t xml:space="preserve"> et al., 2023; </w:t>
      </w:r>
      <w:proofErr w:type="spellStart"/>
      <w:r>
        <w:rPr>
          <w:rFonts w:ascii="Play" w:eastAsia="Play" w:hAnsi="Play" w:cs="Play"/>
        </w:rPr>
        <w:t>Recuenco</w:t>
      </w:r>
      <w:proofErr w:type="spellEnd"/>
      <w:r>
        <w:rPr>
          <w:rFonts w:ascii="Play" w:eastAsia="Play" w:hAnsi="Play" w:cs="Play"/>
        </w:rPr>
        <w:t>, 2022; Apan et al., 2017).</w:t>
      </w:r>
    </w:p>
    <w:p w14:paraId="0E1C215E" w14:textId="77777777" w:rsidR="007B6C90" w:rsidRDefault="00000000">
      <w:pPr>
        <w:spacing w:before="280" w:after="280"/>
        <w:rPr>
          <w:rFonts w:ascii="Play" w:eastAsia="Play" w:hAnsi="Play" w:cs="Play"/>
        </w:rPr>
      </w:pPr>
      <w:r>
        <w:rPr>
          <w:rFonts w:ascii="Play" w:eastAsia="Play" w:hAnsi="Play" w:cs="Play"/>
        </w:rPr>
        <w:t xml:space="preserve">The national strategy of establishing Protected Areas (PAs) to safeguard pristine forests has proven to be only marginally effective in curbing this decline. A nationwide study from 2000 to 2012 revealed a forest loss rate of 2.59% within these protected zones, a figure negligibly lower than the national average of 2.69% (Apan et al., 2017). This indicates that the PA system has not been a panacea for deforestation. This systemic failure is starkly illustrated by the case of the former Paper Industries Corporation of the Philippines (PICOP) concession near </w:t>
      </w:r>
      <w:proofErr w:type="spellStart"/>
      <w:r>
        <w:rPr>
          <w:rFonts w:ascii="Play" w:eastAsia="Play" w:hAnsi="Play" w:cs="Play"/>
        </w:rPr>
        <w:t>Bislig</w:t>
      </w:r>
      <w:proofErr w:type="spellEnd"/>
      <w:r>
        <w:rPr>
          <w:rFonts w:ascii="Play" w:eastAsia="Play" w:hAnsi="Play" w:cs="Play"/>
        </w:rPr>
        <w:t xml:space="preserve">, Mindanao. Following the corporation's decline, a power vacuum emerged, leaving the forest as a "free-for-all for informal settlers, illegal loggers, [and] poachers" (Malonzo &amp; </w:t>
      </w:r>
      <w:proofErr w:type="spellStart"/>
      <w:r>
        <w:rPr>
          <w:rFonts w:ascii="Play" w:eastAsia="Play" w:hAnsi="Play" w:cs="Play"/>
        </w:rPr>
        <w:t>Orodio</w:t>
      </w:r>
      <w:proofErr w:type="spellEnd"/>
      <w:r>
        <w:rPr>
          <w:rFonts w:ascii="Play" w:eastAsia="Play" w:hAnsi="Play" w:cs="Play"/>
        </w:rPr>
        <w:t>, 2025). The situation has become so dire that individuals with chainsaws are observed operating openly in the area (pers. obs.; Robson, 2023).</w:t>
      </w:r>
    </w:p>
    <w:p w14:paraId="6838D66F" w14:textId="77777777" w:rsidR="007B6C90" w:rsidRDefault="00000000">
      <w:pPr>
        <w:spacing w:before="280" w:after="280"/>
        <w:rPr>
          <w:rFonts w:ascii="Play" w:eastAsia="Play" w:hAnsi="Play" w:cs="Play"/>
        </w:rPr>
      </w:pPr>
      <w:r>
        <w:rPr>
          <w:rFonts w:ascii="Play" w:eastAsia="Play" w:hAnsi="Play" w:cs="Play"/>
        </w:rPr>
        <w:t>Despite this history of logging and extensive degradation, the PICOP landscape—a mosaic of remnant primary forest, secondary growth, and forest edge—paradoxically persists as a site of immense ecological importance. Officially designated as a Key Biodiversity Area (KBA) of international significance, PICOP is one of the premier locations for observing Mindanao's rare lowland forest birds (</w:t>
      </w:r>
      <w:proofErr w:type="spellStart"/>
      <w:r>
        <w:rPr>
          <w:rFonts w:ascii="Play" w:eastAsia="Play" w:hAnsi="Play" w:cs="Play"/>
        </w:rPr>
        <w:t>BirdLife</w:t>
      </w:r>
      <w:proofErr w:type="spellEnd"/>
      <w:r>
        <w:rPr>
          <w:rFonts w:ascii="Play" w:eastAsia="Play" w:hAnsi="Play" w:cs="Play"/>
        </w:rPr>
        <w:t xml:space="preserve"> International, 2025; Yong and Low, 2018). Birdwatchers are drawn to the area for its populations of threatened and iconic species, including the Celestial Monarch, Azure-breasted Pitta, </w:t>
      </w:r>
      <w:r>
        <w:rPr>
          <w:rFonts w:ascii="Play" w:eastAsia="Play" w:hAnsi="Play" w:cs="Play"/>
        </w:rPr>
        <w:lastRenderedPageBreak/>
        <w:t xml:space="preserve">Southern Silvery Kingfisher, and various endemic hornbills (Malonzo &amp; </w:t>
      </w:r>
      <w:proofErr w:type="spellStart"/>
      <w:r>
        <w:rPr>
          <w:rFonts w:ascii="Play" w:eastAsia="Play" w:hAnsi="Play" w:cs="Play"/>
        </w:rPr>
        <w:t>Orodio</w:t>
      </w:r>
      <w:proofErr w:type="spellEnd"/>
      <w:r>
        <w:rPr>
          <w:rFonts w:ascii="Play" w:eastAsia="Play" w:hAnsi="Play" w:cs="Play"/>
        </w:rPr>
        <w:t>, 2025; Robson, 2023). This highlights PICOP's critical role as a "</w:t>
      </w:r>
      <w:proofErr w:type="gramStart"/>
      <w:r>
        <w:rPr>
          <w:rFonts w:ascii="Play" w:eastAsia="Play" w:hAnsi="Play" w:cs="Play"/>
        </w:rPr>
        <w:t>last-stand</w:t>
      </w:r>
      <w:proofErr w:type="gramEnd"/>
      <w:r>
        <w:rPr>
          <w:rFonts w:ascii="Play" w:eastAsia="Play" w:hAnsi="Play" w:cs="Play"/>
        </w:rPr>
        <w:t xml:space="preserve">" refuge for endemic species in a disturbed landscape (Tabora et al., 2023; Zapanta et al., 2019). </w:t>
      </w:r>
    </w:p>
    <w:p w14:paraId="67873E82" w14:textId="77777777" w:rsidR="007B6C90" w:rsidRDefault="00000000">
      <w:pPr>
        <w:spacing w:before="280" w:after="280"/>
        <w:rPr>
          <w:rFonts w:ascii="Play" w:eastAsia="Play" w:hAnsi="Play" w:cs="Play"/>
        </w:rPr>
      </w:pPr>
      <w:r>
        <w:rPr>
          <w:rFonts w:ascii="Play" w:eastAsia="Play" w:hAnsi="Play" w:cs="Play"/>
        </w:rPr>
        <w:t>Furthermore, birding tourism offers a substantial economic alternative to destructive practices, with visitor expenditures estimated at USD 331 per day (</w:t>
      </w:r>
      <w:proofErr w:type="spellStart"/>
      <w:r>
        <w:rPr>
          <w:rFonts w:ascii="Play" w:eastAsia="Play" w:hAnsi="Play" w:cs="Play"/>
        </w:rPr>
        <w:t>Birdtour</w:t>
      </w:r>
      <w:proofErr w:type="spellEnd"/>
      <w:r>
        <w:rPr>
          <w:rFonts w:ascii="Play" w:eastAsia="Play" w:hAnsi="Play" w:cs="Play"/>
        </w:rPr>
        <w:t xml:space="preserve"> Asia, 2025). To foster effective management, a shift toward site-specific assessment is needed to protect such complex landscapes before their biodiversity is lost (</w:t>
      </w:r>
      <w:proofErr w:type="spellStart"/>
      <w:r>
        <w:rPr>
          <w:rFonts w:ascii="Play" w:eastAsia="Play" w:hAnsi="Play" w:cs="Play"/>
        </w:rPr>
        <w:t>Agduma</w:t>
      </w:r>
      <w:proofErr w:type="spellEnd"/>
      <w:r>
        <w:rPr>
          <w:rFonts w:ascii="Play" w:eastAsia="Play" w:hAnsi="Play" w:cs="Play"/>
        </w:rPr>
        <w:t xml:space="preserve"> et al., 2023; Tabora et al., 2023; Apan et al., 2017). Therefore, the objective of this study is to quantify the rate of forest loss in PICOP using geospatial methodologies, comparing current remote sensing data with a historical baseline to underscore the urgent need for its protection.</w:t>
      </w:r>
    </w:p>
    <w:p w14:paraId="4A75E76E" w14:textId="77777777" w:rsidR="007B6C90" w:rsidRDefault="00000000">
      <w:pPr>
        <w:spacing w:before="280" w:after="280"/>
        <w:jc w:val="left"/>
        <w:rPr>
          <w:rFonts w:ascii="Play" w:eastAsia="Play" w:hAnsi="Play" w:cs="Play"/>
          <w:b/>
          <w:bCs/>
          <w:sz w:val="36"/>
          <w:szCs w:val="36"/>
        </w:rPr>
      </w:pPr>
      <w:r>
        <w:rPr>
          <w:rFonts w:ascii="Play" w:eastAsia="Play" w:hAnsi="Play" w:cs="Play"/>
          <w:b/>
          <w:bCs/>
          <w:sz w:val="36"/>
          <w:szCs w:val="36"/>
        </w:rPr>
        <w:t>Methods</w:t>
      </w:r>
    </w:p>
    <w:p w14:paraId="283C3783" w14:textId="77777777" w:rsidR="007B6C90" w:rsidRDefault="00000000">
      <w:pPr>
        <w:spacing w:before="280" w:after="280"/>
        <w:jc w:val="left"/>
        <w:rPr>
          <w:rFonts w:ascii="Play" w:eastAsia="Play" w:hAnsi="Play" w:cs="Play"/>
          <w:b/>
          <w:bCs/>
          <w:sz w:val="27"/>
          <w:szCs w:val="27"/>
        </w:rPr>
      </w:pPr>
      <w:r>
        <w:rPr>
          <w:rFonts w:ascii="Play" w:eastAsia="Play" w:hAnsi="Play" w:cs="Play"/>
          <w:b/>
          <w:bCs/>
          <w:sz w:val="27"/>
          <w:szCs w:val="27"/>
        </w:rPr>
        <w:t>Study Area and Data Acquisition</w:t>
      </w:r>
    </w:p>
    <w:p w14:paraId="292A5A2F" w14:textId="77777777" w:rsidR="007B6C90" w:rsidRDefault="00000000">
      <w:pPr>
        <w:spacing w:before="280" w:after="280"/>
        <w:rPr>
          <w:rFonts w:ascii="Play" w:eastAsia="Play" w:hAnsi="Play" w:cs="Play"/>
        </w:rPr>
      </w:pPr>
      <w:r>
        <w:rPr>
          <w:rFonts w:ascii="Play" w:eastAsia="Play" w:hAnsi="Play" w:cs="Play"/>
        </w:rPr>
        <w:t xml:space="preserve">This study utilized satellite remote sensing data to quantify environmental change within the </w:t>
      </w:r>
      <w:proofErr w:type="spellStart"/>
      <w:r>
        <w:rPr>
          <w:rFonts w:ascii="Play" w:eastAsia="Play" w:hAnsi="Play" w:cs="Play"/>
        </w:rPr>
        <w:t>Bislig</w:t>
      </w:r>
      <w:proofErr w:type="spellEnd"/>
      <w:r>
        <w:rPr>
          <w:rFonts w:ascii="Play" w:eastAsia="Play" w:hAnsi="Play" w:cs="Play"/>
        </w:rPr>
        <w:t xml:space="preserve"> Key Biodiversity Area (KBA) in Mindanao, Philippines, a region of high conservation priority. The study area boundary was defined using the </w:t>
      </w:r>
      <w:proofErr w:type="spellStart"/>
      <w:r>
        <w:rPr>
          <w:rFonts w:ascii="Play" w:eastAsia="Play" w:hAnsi="Play" w:cs="Play"/>
          <w:sz w:val="20"/>
          <w:szCs w:val="20"/>
        </w:rPr>
        <w:t>Philippines_KBA.shp</w:t>
      </w:r>
      <w:proofErr w:type="spellEnd"/>
      <w:r>
        <w:rPr>
          <w:rFonts w:ascii="Play" w:eastAsia="Play" w:hAnsi="Play" w:cs="Play"/>
        </w:rPr>
        <w:t xml:space="preserve"> shapefile, which delineates globally significant sites identified by </w:t>
      </w:r>
      <w:proofErr w:type="spellStart"/>
      <w:r>
        <w:rPr>
          <w:rFonts w:ascii="Play" w:eastAsia="Play" w:hAnsi="Play" w:cs="Play"/>
        </w:rPr>
        <w:t>BirdLife</w:t>
      </w:r>
      <w:proofErr w:type="spellEnd"/>
      <w:r>
        <w:rPr>
          <w:rFonts w:ascii="Play" w:eastAsia="Play" w:hAnsi="Play" w:cs="Play"/>
        </w:rPr>
        <w:t xml:space="preserve"> International and its partners (</w:t>
      </w:r>
      <w:proofErr w:type="spellStart"/>
      <w:r>
        <w:rPr>
          <w:rFonts w:ascii="Play" w:eastAsia="Play" w:hAnsi="Play" w:cs="Play"/>
        </w:rPr>
        <w:t>BirdLife</w:t>
      </w:r>
      <w:proofErr w:type="spellEnd"/>
      <w:r>
        <w:rPr>
          <w:rFonts w:ascii="Play" w:eastAsia="Play" w:hAnsi="Play" w:cs="Play"/>
        </w:rPr>
        <w:t xml:space="preserve"> International, 2025). All analyses were constrained to an Area of Interest (AOI) defined by the following bounding box coordinates: </w:t>
      </w:r>
      <w:proofErr w:type="spellStart"/>
      <w:r>
        <w:rPr>
          <w:rFonts w:ascii="Play" w:eastAsia="Play" w:hAnsi="Play" w:cs="Play"/>
        </w:rPr>
        <w:t>xmin</w:t>
      </w:r>
      <w:proofErr w:type="spellEnd"/>
      <w:r>
        <w:rPr>
          <w:rFonts w:ascii="Play" w:eastAsia="Play" w:hAnsi="Play" w:cs="Play"/>
        </w:rPr>
        <w:t xml:space="preserve">: 125.9641, </w:t>
      </w:r>
      <w:proofErr w:type="spellStart"/>
      <w:r>
        <w:rPr>
          <w:rFonts w:ascii="Play" w:eastAsia="Play" w:hAnsi="Play" w:cs="Play"/>
        </w:rPr>
        <w:t>ymin</w:t>
      </w:r>
      <w:proofErr w:type="spellEnd"/>
      <w:r>
        <w:rPr>
          <w:rFonts w:ascii="Play" w:eastAsia="Play" w:hAnsi="Play" w:cs="Play"/>
        </w:rPr>
        <w:t xml:space="preserve">: 7.8266, </w:t>
      </w:r>
      <w:proofErr w:type="spellStart"/>
      <w:r>
        <w:rPr>
          <w:rFonts w:ascii="Play" w:eastAsia="Play" w:hAnsi="Play" w:cs="Play"/>
        </w:rPr>
        <w:t>xmax</w:t>
      </w:r>
      <w:proofErr w:type="spellEnd"/>
      <w:r>
        <w:rPr>
          <w:rFonts w:ascii="Play" w:eastAsia="Play" w:hAnsi="Play" w:cs="Play"/>
        </w:rPr>
        <w:t xml:space="preserve">: 126.4167, and </w:t>
      </w:r>
      <w:proofErr w:type="spellStart"/>
      <w:r>
        <w:rPr>
          <w:rFonts w:ascii="Play" w:eastAsia="Play" w:hAnsi="Play" w:cs="Play"/>
        </w:rPr>
        <w:t>ymax</w:t>
      </w:r>
      <w:proofErr w:type="spellEnd"/>
      <w:r>
        <w:rPr>
          <w:rFonts w:ascii="Play" w:eastAsia="Play" w:hAnsi="Play" w:cs="Play"/>
        </w:rPr>
        <w:t>: 8.4938.</w:t>
      </w:r>
    </w:p>
    <w:p w14:paraId="58D27C63" w14:textId="77777777" w:rsidR="007B6C90" w:rsidRDefault="00000000">
      <w:pPr>
        <w:spacing w:before="280" w:after="280"/>
        <w:rPr>
          <w:rFonts w:ascii="Play" w:eastAsia="Play" w:hAnsi="Play" w:cs="Play"/>
        </w:rPr>
      </w:pPr>
      <w:r>
        <w:rPr>
          <w:rFonts w:ascii="Play" w:eastAsia="Play" w:hAnsi="Play" w:cs="Play"/>
        </w:rPr>
        <w:t>The primary dataset consisted of Copernicus Sentinel-2 Level-2A products (European Space Agency, 2025). To facilitate the change detection analysis, imagery from two distinct time points was acquired: a baseline scene from 2016 (ID: T51PZK_20160721T021352) and a comparison scene from 2025 (ID: T51PZK_20250902T021231). The analysis specifically used the Red (Band 4) and Near-Infrared (NIR, Band 8) spectral bands from each scene, both of which have a 10-meter spatial resolution.</w:t>
      </w:r>
    </w:p>
    <w:p w14:paraId="1DFACE77" w14:textId="77777777" w:rsidR="007B6C90" w:rsidRDefault="00000000">
      <w:pPr>
        <w:spacing w:before="280" w:after="280"/>
        <w:jc w:val="left"/>
        <w:rPr>
          <w:rFonts w:ascii="Play" w:eastAsia="Play" w:hAnsi="Play" w:cs="Play"/>
          <w:b/>
          <w:bCs/>
          <w:sz w:val="27"/>
          <w:szCs w:val="27"/>
        </w:rPr>
      </w:pPr>
      <w:r>
        <w:rPr>
          <w:rFonts w:ascii="Play" w:eastAsia="Play" w:hAnsi="Play" w:cs="Play"/>
          <w:b/>
          <w:bCs/>
          <w:sz w:val="27"/>
          <w:szCs w:val="27"/>
        </w:rPr>
        <w:t>Data Preprocessing and Vegetation Index Calculation</w:t>
      </w:r>
    </w:p>
    <w:p w14:paraId="39CF5F4E" w14:textId="77777777" w:rsidR="007B6C90" w:rsidRDefault="00000000">
      <w:pPr>
        <w:spacing w:before="280" w:after="280"/>
        <w:rPr>
          <w:rFonts w:ascii="Play" w:eastAsia="Play" w:hAnsi="Play" w:cs="Play"/>
        </w:rPr>
      </w:pPr>
      <w:r>
        <w:rPr>
          <w:rFonts w:ascii="Play" w:eastAsia="Play" w:hAnsi="Play" w:cs="Play"/>
        </w:rPr>
        <w:t>To ensure a valid temporal comparison, the raw satellite imagery underwent preprocessing for spatial co-registration and radiometric normalization. The first step was the calculation of the Normalized Difference Vegetation Index (NDVI) for both the 2016 and 2025 datasets. This index serves as a quantitative measure of vegetation health and was computed using the standard formula:</w:t>
      </w:r>
    </w:p>
    <w:p w14:paraId="63881664" w14:textId="77777777" w:rsidR="007B6C90" w:rsidRDefault="00000000">
      <w:pPr>
        <w:spacing w:before="280" w:after="280"/>
        <w:jc w:val="center"/>
        <w:rPr>
          <w:rFonts w:ascii="Play" w:eastAsia="Play" w:hAnsi="Play" w:cs="Play"/>
          <w:sz w:val="40"/>
          <w:szCs w:val="40"/>
        </w:rPr>
      </w:pPr>
      <w:r>
        <w:rPr>
          <w:rFonts w:ascii="Play" w:eastAsia="Play" w:hAnsi="Play" w:cs="Play"/>
          <w:sz w:val="28"/>
          <w:szCs w:val="28"/>
        </w:rPr>
        <w:t>NDVI = (NIR - Red) / (NIR + Red)</w:t>
      </w:r>
    </w:p>
    <w:p w14:paraId="76CFD91C" w14:textId="77777777" w:rsidR="007B6C90" w:rsidRDefault="00000000">
      <w:pPr>
        <w:spacing w:before="280" w:after="280"/>
        <w:rPr>
          <w:rFonts w:ascii="Play" w:eastAsia="Play" w:hAnsi="Play" w:cs="Play"/>
        </w:rPr>
      </w:pPr>
      <w:r>
        <w:rPr>
          <w:rFonts w:ascii="Play" w:eastAsia="Play" w:hAnsi="Play" w:cs="Play"/>
        </w:rPr>
        <w:t xml:space="preserve">Following this calculation, the resulting NDVI </w:t>
      </w:r>
      <w:proofErr w:type="spellStart"/>
      <w:r>
        <w:rPr>
          <w:rFonts w:ascii="Play" w:eastAsia="Play" w:hAnsi="Play" w:cs="Play"/>
        </w:rPr>
        <w:t>rasters</w:t>
      </w:r>
      <w:proofErr w:type="spellEnd"/>
      <w:r>
        <w:rPr>
          <w:rFonts w:ascii="Play" w:eastAsia="Play" w:hAnsi="Play" w:cs="Play"/>
        </w:rPr>
        <w:t xml:space="preserve"> were aligned. To ensure a congruent pixel grid, the 2025 NDVI raster was resampled to match the spatial grid of </w:t>
      </w:r>
      <w:r>
        <w:rPr>
          <w:rFonts w:ascii="Play" w:eastAsia="Play" w:hAnsi="Play" w:cs="Play"/>
        </w:rPr>
        <w:lastRenderedPageBreak/>
        <w:t xml:space="preserve">the 2016 raster. Subsequently, both NDVI </w:t>
      </w:r>
      <w:proofErr w:type="spellStart"/>
      <w:r>
        <w:rPr>
          <w:rFonts w:ascii="Play" w:eastAsia="Play" w:hAnsi="Play" w:cs="Play"/>
        </w:rPr>
        <w:t>rasters</w:t>
      </w:r>
      <w:proofErr w:type="spellEnd"/>
      <w:r>
        <w:rPr>
          <w:rFonts w:ascii="Play" w:eastAsia="Play" w:hAnsi="Play" w:cs="Play"/>
        </w:rPr>
        <w:t xml:space="preserve"> were cropped to the precise spatial extent of the study area's bounding box.</w:t>
      </w:r>
    </w:p>
    <w:p w14:paraId="1EC8FEC3" w14:textId="77777777" w:rsidR="007B6C90" w:rsidRDefault="00000000">
      <w:pPr>
        <w:spacing w:before="280" w:after="280"/>
        <w:jc w:val="left"/>
        <w:rPr>
          <w:rFonts w:ascii="Play" w:eastAsia="Play" w:hAnsi="Play" w:cs="Play"/>
          <w:b/>
          <w:bCs/>
          <w:sz w:val="27"/>
          <w:szCs w:val="27"/>
        </w:rPr>
      </w:pPr>
      <w:r>
        <w:rPr>
          <w:rFonts w:ascii="Play" w:eastAsia="Play" w:hAnsi="Play" w:cs="Play"/>
          <w:b/>
          <w:bCs/>
          <w:sz w:val="27"/>
          <w:szCs w:val="27"/>
        </w:rPr>
        <w:t>Forest Cover Change Analysis</w:t>
      </w:r>
    </w:p>
    <w:p w14:paraId="1FE22E6C" w14:textId="77777777" w:rsidR="007B6C90" w:rsidRDefault="00000000">
      <w:pPr>
        <w:spacing w:before="280" w:after="280"/>
        <w:rPr>
          <w:rFonts w:ascii="Play" w:eastAsia="Play" w:hAnsi="Play" w:cs="Play"/>
        </w:rPr>
      </w:pPr>
      <w:r>
        <w:rPr>
          <w:rFonts w:ascii="Play" w:eastAsia="Play" w:hAnsi="Play" w:cs="Play"/>
        </w:rPr>
        <w:t xml:space="preserve">The primary analysis aimed to define forest versus non-forest cover and quantify the change between 2016 and 2025 using a baseline threshold of </w:t>
      </w:r>
      <w:r>
        <w:rPr>
          <w:rFonts w:ascii="Play" w:eastAsia="Play" w:hAnsi="Play" w:cs="Play"/>
          <w:b/>
          <w:bCs/>
        </w:rPr>
        <w:t>NDVI &gt; 0.6</w:t>
      </w:r>
      <w:r>
        <w:rPr>
          <w:rFonts w:ascii="Play" w:eastAsia="Play" w:hAnsi="Play" w:cs="Play"/>
        </w:rPr>
        <w:t xml:space="preserve"> to classify forest pixels. "Forest loss" was defined as any pixel classified as forest in 2016 that was reclassified as non-forest in 2025. The total area of forest loss was calculated by summing the number of these converted pixels and multiplying by the area of a single pixel (0.01 hectares). To test the robustness of this definition, a sensitivity analysis was also conducted across a range of thresholds from 0.60 to 0.79.</w:t>
      </w:r>
    </w:p>
    <w:p w14:paraId="431BA5D3" w14:textId="77777777" w:rsidR="007B6C90" w:rsidRDefault="00000000">
      <w:pPr>
        <w:spacing w:before="280" w:after="280"/>
        <w:jc w:val="left"/>
        <w:rPr>
          <w:rFonts w:ascii="Play" w:eastAsia="Play" w:hAnsi="Play" w:cs="Play"/>
          <w:b/>
          <w:bCs/>
          <w:sz w:val="27"/>
          <w:szCs w:val="27"/>
        </w:rPr>
      </w:pPr>
      <w:r>
        <w:rPr>
          <w:rFonts w:ascii="Play" w:eastAsia="Play" w:hAnsi="Play" w:cs="Play"/>
          <w:b/>
          <w:bCs/>
          <w:sz w:val="27"/>
          <w:szCs w:val="27"/>
        </w:rPr>
        <w:t>Computational Environment</w:t>
      </w:r>
    </w:p>
    <w:p w14:paraId="16B55929" w14:textId="77777777" w:rsidR="007B6C90" w:rsidRDefault="00000000">
      <w:pPr>
        <w:spacing w:before="280" w:after="280"/>
        <w:rPr>
          <w:rFonts w:ascii="Play" w:eastAsia="Play" w:hAnsi="Play" w:cs="Play"/>
        </w:rPr>
      </w:pPr>
      <w:r>
        <w:rPr>
          <w:rFonts w:ascii="Play" w:eastAsia="Play" w:hAnsi="Play" w:cs="Play"/>
        </w:rPr>
        <w:t xml:space="preserve">All data processing and analysis were performed in R version 4.5.1 (2025-06-13) using the RStudio environment. A suite of specialized R packages facilitated the geospatial operations. The </w:t>
      </w:r>
      <w:r>
        <w:rPr>
          <w:rFonts w:ascii="Play" w:eastAsia="Play" w:hAnsi="Play" w:cs="Play"/>
          <w:sz w:val="20"/>
          <w:szCs w:val="20"/>
        </w:rPr>
        <w:t>terra</w:t>
      </w:r>
      <w:r>
        <w:rPr>
          <w:rFonts w:ascii="Play" w:eastAsia="Play" w:hAnsi="Play" w:cs="Play"/>
        </w:rPr>
        <w:t xml:space="preserve"> package (version 1.8.60) was used for all raster data manipulations, including NDVI calculation, resampling, and classification. Vector data, such as the KBA shapefile, were handled with the </w:t>
      </w:r>
      <w:r>
        <w:rPr>
          <w:rFonts w:ascii="Play" w:eastAsia="Play" w:hAnsi="Play" w:cs="Play"/>
          <w:sz w:val="20"/>
          <w:szCs w:val="20"/>
        </w:rPr>
        <w:t>sf</w:t>
      </w:r>
      <w:r>
        <w:rPr>
          <w:rFonts w:ascii="Play" w:eastAsia="Play" w:hAnsi="Play" w:cs="Play"/>
        </w:rPr>
        <w:t xml:space="preserve"> package. Data summarization was performed with the </w:t>
      </w:r>
      <w:r>
        <w:rPr>
          <w:rFonts w:ascii="Play" w:eastAsia="Play" w:hAnsi="Play" w:cs="Play"/>
          <w:sz w:val="20"/>
          <w:szCs w:val="20"/>
        </w:rPr>
        <w:t>dplyr</w:t>
      </w:r>
      <w:r>
        <w:rPr>
          <w:rFonts w:ascii="Play" w:eastAsia="Play" w:hAnsi="Play" w:cs="Play"/>
        </w:rPr>
        <w:t xml:space="preserve"> package, and visualizations for the sensitivity analysis were created using </w:t>
      </w:r>
      <w:r>
        <w:rPr>
          <w:rFonts w:ascii="Play" w:eastAsia="Play" w:hAnsi="Play" w:cs="Play"/>
          <w:sz w:val="20"/>
          <w:szCs w:val="20"/>
        </w:rPr>
        <w:t>ggplot2</w:t>
      </w:r>
      <w:r>
        <w:rPr>
          <w:rFonts w:ascii="Play" w:eastAsia="Play" w:hAnsi="Play" w:cs="Play"/>
        </w:rPr>
        <w:t>. The analytical workflow was linked to the core geospatial libraries GEOS (3.13.0), GDAL (3.8.5), and PROJ (9.5.1) to ensure reproducibility.</w:t>
      </w:r>
    </w:p>
    <w:p w14:paraId="462A34A3" w14:textId="77777777" w:rsidR="007B6C90" w:rsidRDefault="00000000">
      <w:pPr>
        <w:spacing w:before="280" w:after="280"/>
        <w:jc w:val="left"/>
        <w:rPr>
          <w:rFonts w:ascii="Play" w:eastAsia="Play" w:hAnsi="Play" w:cs="Play"/>
          <w:b/>
          <w:bCs/>
          <w:sz w:val="36"/>
          <w:szCs w:val="36"/>
        </w:rPr>
      </w:pPr>
      <w:r>
        <w:rPr>
          <w:rFonts w:ascii="Play" w:eastAsia="Play" w:hAnsi="Play" w:cs="Play"/>
          <w:b/>
          <w:bCs/>
          <w:sz w:val="36"/>
          <w:szCs w:val="36"/>
        </w:rPr>
        <w:t>Results</w:t>
      </w:r>
    </w:p>
    <w:p w14:paraId="5C323AA3" w14:textId="77777777" w:rsidR="007B6C90" w:rsidRDefault="00000000">
      <w:pPr>
        <w:spacing w:before="280" w:after="280"/>
        <w:jc w:val="left"/>
        <w:rPr>
          <w:rFonts w:ascii="Play" w:eastAsia="Play" w:hAnsi="Play" w:cs="Play"/>
          <w:b/>
          <w:bCs/>
          <w:sz w:val="27"/>
          <w:szCs w:val="27"/>
        </w:rPr>
      </w:pPr>
      <w:r>
        <w:rPr>
          <w:rFonts w:ascii="Play" w:eastAsia="Play" w:hAnsi="Play" w:cs="Play"/>
          <w:b/>
          <w:bCs/>
          <w:sz w:val="27"/>
          <w:szCs w:val="27"/>
        </w:rPr>
        <w:t>Forest Area Change (2016–2025)</w:t>
      </w:r>
    </w:p>
    <w:p w14:paraId="0E006EDD" w14:textId="77777777" w:rsidR="007B6C90" w:rsidRDefault="00000000">
      <w:pPr>
        <w:spacing w:before="280" w:after="280"/>
        <w:rPr>
          <w:rFonts w:ascii="Play" w:eastAsia="Play" w:hAnsi="Play" w:cs="Play"/>
        </w:rPr>
      </w:pPr>
      <w:r>
        <w:rPr>
          <w:rFonts w:ascii="Play" w:eastAsia="Play" w:hAnsi="Play" w:cs="Play"/>
        </w:rPr>
        <w:t>Using a baseline threshold of NDVI &gt; 0.6 to define forest cover, the analysis of Sentinel-2 data revealed a net increase in forest area between 2016 and 2025. The total forest area in 2016 was calculated to be 113,542.51 hectares, which increased to 142,219.13 hectares in 2025. This constitutes a gross forest gain of 28,676.62 hectares, representing a 25.26% increase relative to the 2016 baseline. A summary of these findings is presented in Table 1.</w:t>
      </w:r>
    </w:p>
    <w:p w14:paraId="41A9BA20" w14:textId="77777777" w:rsidR="007B6C90" w:rsidRDefault="00000000">
      <w:pPr>
        <w:jc w:val="center"/>
        <w:rPr>
          <w:rFonts w:ascii="Play" w:eastAsia="Play" w:hAnsi="Play" w:cs="Play"/>
          <w:u w:val="single"/>
        </w:rPr>
      </w:pPr>
      <w:r>
        <w:rPr>
          <w:rFonts w:ascii="Play" w:eastAsia="Play" w:hAnsi="Play" w:cs="Play"/>
          <w:u w:val="single"/>
        </w:rPr>
        <w:t xml:space="preserve">Table 1. Forest area </w:t>
      </w:r>
      <w:proofErr w:type="gramStart"/>
      <w:r>
        <w:rPr>
          <w:rFonts w:ascii="Play" w:eastAsia="Play" w:hAnsi="Play" w:cs="Play"/>
          <w:u w:val="single"/>
        </w:rPr>
        <w:t>change</w:t>
      </w:r>
      <w:proofErr w:type="gramEnd"/>
      <w:r>
        <w:rPr>
          <w:rFonts w:ascii="Play" w:eastAsia="Play" w:hAnsi="Play" w:cs="Play"/>
          <w:u w:val="single"/>
        </w:rPr>
        <w:t xml:space="preserve"> between 2016 and 2025 based on an NDVI threshold of &gt; 0.6.</w:t>
      </w:r>
    </w:p>
    <w:tbl>
      <w:tblPr>
        <w:tblStyle w:val="a"/>
        <w:tblW w:w="9344"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878"/>
        <w:gridCol w:w="803"/>
        <w:gridCol w:w="1848"/>
        <w:gridCol w:w="1848"/>
        <w:gridCol w:w="1926"/>
        <w:gridCol w:w="2041"/>
      </w:tblGrid>
      <w:tr w:rsidR="007B6C90" w14:paraId="60DDCD65" w14:textId="77777777">
        <w:tc>
          <w:tcPr>
            <w:tcW w:w="878" w:type="dxa"/>
            <w:tcBorders>
              <w:top w:val="single" w:sz="6" w:space="0" w:color="000000"/>
              <w:left w:val="single" w:sz="6" w:space="0" w:color="000000"/>
              <w:bottom w:val="single" w:sz="6" w:space="0" w:color="000000"/>
              <w:right w:val="single" w:sz="6" w:space="0" w:color="000000"/>
            </w:tcBorders>
            <w:shd w:val="clear" w:color="auto" w:fill="CAEDFB"/>
          </w:tcPr>
          <w:p w14:paraId="27562D0D" w14:textId="77777777" w:rsidR="007B6C90" w:rsidRDefault="00000000">
            <w:pPr>
              <w:jc w:val="center"/>
              <w:rPr>
                <w:rFonts w:ascii="Play" w:eastAsia="Play" w:hAnsi="Play" w:cs="Play"/>
                <w:b/>
                <w:bCs/>
              </w:rPr>
            </w:pPr>
            <w:bookmarkStart w:id="0" w:name="_Hlk214959539"/>
            <w:r>
              <w:rPr>
                <w:rFonts w:ascii="Play" w:eastAsia="Play" w:hAnsi="Play" w:cs="Play"/>
                <w:b/>
                <w:bCs/>
              </w:rPr>
              <w:t>Initial Year</w:t>
            </w:r>
          </w:p>
        </w:tc>
        <w:tc>
          <w:tcPr>
            <w:tcW w:w="803" w:type="dxa"/>
            <w:tcBorders>
              <w:top w:val="single" w:sz="6" w:space="0" w:color="000000"/>
              <w:left w:val="single" w:sz="6" w:space="0" w:color="000000"/>
              <w:bottom w:val="single" w:sz="6" w:space="0" w:color="000000"/>
              <w:right w:val="single" w:sz="6" w:space="0" w:color="000000"/>
            </w:tcBorders>
            <w:shd w:val="clear" w:color="auto" w:fill="CAEDFB"/>
          </w:tcPr>
          <w:p w14:paraId="300B13E1" w14:textId="77777777" w:rsidR="007B6C90" w:rsidRDefault="00000000">
            <w:pPr>
              <w:jc w:val="center"/>
              <w:rPr>
                <w:rFonts w:ascii="Play" w:eastAsia="Play" w:hAnsi="Play" w:cs="Play"/>
                <w:b/>
                <w:bCs/>
              </w:rPr>
            </w:pPr>
            <w:r>
              <w:rPr>
                <w:rFonts w:ascii="Play" w:eastAsia="Play" w:hAnsi="Play" w:cs="Play"/>
                <w:b/>
                <w:bCs/>
              </w:rPr>
              <w:t>Final Year</w:t>
            </w:r>
          </w:p>
        </w:tc>
        <w:tc>
          <w:tcPr>
            <w:tcW w:w="1848" w:type="dxa"/>
            <w:tcBorders>
              <w:top w:val="single" w:sz="6" w:space="0" w:color="000000"/>
              <w:left w:val="single" w:sz="6" w:space="0" w:color="000000"/>
              <w:bottom w:val="single" w:sz="6" w:space="0" w:color="000000"/>
              <w:right w:val="single" w:sz="6" w:space="0" w:color="000000"/>
            </w:tcBorders>
            <w:shd w:val="clear" w:color="auto" w:fill="CAEDFB"/>
          </w:tcPr>
          <w:p w14:paraId="34067582" w14:textId="77777777" w:rsidR="007B6C90" w:rsidRDefault="00000000">
            <w:pPr>
              <w:jc w:val="center"/>
              <w:rPr>
                <w:rFonts w:ascii="Play" w:eastAsia="Play" w:hAnsi="Play" w:cs="Play"/>
                <w:b/>
                <w:bCs/>
              </w:rPr>
            </w:pPr>
            <w:r>
              <w:rPr>
                <w:rFonts w:ascii="Play" w:eastAsia="Play" w:hAnsi="Play" w:cs="Play"/>
                <w:b/>
                <w:bCs/>
              </w:rPr>
              <w:t>Forest Area in 2016 (ha)</w:t>
            </w:r>
          </w:p>
        </w:tc>
        <w:tc>
          <w:tcPr>
            <w:tcW w:w="1848" w:type="dxa"/>
            <w:tcBorders>
              <w:top w:val="single" w:sz="6" w:space="0" w:color="000000"/>
              <w:left w:val="single" w:sz="6" w:space="0" w:color="000000"/>
              <w:bottom w:val="single" w:sz="6" w:space="0" w:color="000000"/>
              <w:right w:val="single" w:sz="6" w:space="0" w:color="000000"/>
            </w:tcBorders>
            <w:shd w:val="clear" w:color="auto" w:fill="CAEDFB"/>
          </w:tcPr>
          <w:p w14:paraId="76D6BCBD" w14:textId="77777777" w:rsidR="007B6C90" w:rsidRDefault="00000000">
            <w:pPr>
              <w:jc w:val="center"/>
              <w:rPr>
                <w:rFonts w:ascii="Play" w:eastAsia="Play" w:hAnsi="Play" w:cs="Play"/>
                <w:b/>
                <w:bCs/>
              </w:rPr>
            </w:pPr>
            <w:r>
              <w:rPr>
                <w:rFonts w:ascii="Play" w:eastAsia="Play" w:hAnsi="Play" w:cs="Play"/>
                <w:b/>
                <w:bCs/>
              </w:rPr>
              <w:t>Forest Area in 2025 (ha)</w:t>
            </w:r>
          </w:p>
        </w:tc>
        <w:tc>
          <w:tcPr>
            <w:tcW w:w="1926" w:type="dxa"/>
            <w:tcBorders>
              <w:top w:val="single" w:sz="6" w:space="0" w:color="000000"/>
              <w:left w:val="single" w:sz="6" w:space="0" w:color="000000"/>
              <w:bottom w:val="single" w:sz="6" w:space="0" w:color="000000"/>
              <w:right w:val="single" w:sz="6" w:space="0" w:color="000000"/>
            </w:tcBorders>
            <w:shd w:val="clear" w:color="auto" w:fill="CAEDFB"/>
          </w:tcPr>
          <w:p w14:paraId="27138790" w14:textId="747D7179" w:rsidR="007B6C90" w:rsidRDefault="00CA74BF">
            <w:pPr>
              <w:jc w:val="center"/>
              <w:rPr>
                <w:rFonts w:ascii="Play" w:eastAsia="Play" w:hAnsi="Play" w:cs="Play"/>
                <w:b/>
                <w:bCs/>
              </w:rPr>
            </w:pPr>
            <w:r>
              <w:rPr>
                <w:rFonts w:ascii="Play" w:eastAsia="Play" w:hAnsi="Play" w:cs="Play"/>
                <w:b/>
                <w:bCs/>
              </w:rPr>
              <w:t>Forest Loss</w:t>
            </w:r>
            <w:r w:rsidR="00000000">
              <w:rPr>
                <w:rFonts w:ascii="Play" w:eastAsia="Play" w:hAnsi="Play" w:cs="Play"/>
                <w:b/>
                <w:bCs/>
              </w:rPr>
              <w:t xml:space="preserve"> (ha)</w:t>
            </w:r>
          </w:p>
        </w:tc>
        <w:tc>
          <w:tcPr>
            <w:tcW w:w="2041" w:type="dxa"/>
            <w:tcBorders>
              <w:top w:val="single" w:sz="6" w:space="0" w:color="000000"/>
              <w:left w:val="single" w:sz="6" w:space="0" w:color="000000"/>
              <w:bottom w:val="single" w:sz="6" w:space="0" w:color="000000"/>
              <w:right w:val="single" w:sz="6" w:space="0" w:color="000000"/>
            </w:tcBorders>
            <w:shd w:val="clear" w:color="auto" w:fill="CAEDFB"/>
          </w:tcPr>
          <w:p w14:paraId="33445E2E" w14:textId="77777777" w:rsidR="007B6C90" w:rsidRDefault="00000000">
            <w:pPr>
              <w:jc w:val="center"/>
              <w:rPr>
                <w:rFonts w:ascii="Play" w:eastAsia="Play" w:hAnsi="Play" w:cs="Play"/>
                <w:b/>
                <w:bCs/>
              </w:rPr>
            </w:pPr>
            <w:r>
              <w:rPr>
                <w:rFonts w:ascii="Play" w:eastAsia="Play" w:hAnsi="Play" w:cs="Play"/>
                <w:b/>
                <w:bCs/>
              </w:rPr>
              <w:t>Percent Change in Forest Area</w:t>
            </w:r>
          </w:p>
        </w:tc>
      </w:tr>
      <w:tr w:rsidR="00CA74BF" w14:paraId="073FB6BD" w14:textId="77777777">
        <w:tc>
          <w:tcPr>
            <w:tcW w:w="878" w:type="dxa"/>
            <w:tcBorders>
              <w:top w:val="single" w:sz="6" w:space="0" w:color="000000"/>
              <w:left w:val="single" w:sz="6" w:space="0" w:color="000000"/>
              <w:bottom w:val="single" w:sz="6" w:space="0" w:color="000000"/>
              <w:right w:val="single" w:sz="6" w:space="0" w:color="000000"/>
            </w:tcBorders>
          </w:tcPr>
          <w:p w14:paraId="381D8EDB" w14:textId="77777777" w:rsidR="00CA74BF" w:rsidRDefault="00CA74BF" w:rsidP="00CA74BF">
            <w:pPr>
              <w:jc w:val="center"/>
              <w:rPr>
                <w:rFonts w:ascii="Play" w:eastAsia="Play" w:hAnsi="Play" w:cs="Play"/>
              </w:rPr>
            </w:pPr>
            <w:r>
              <w:rPr>
                <w:rFonts w:ascii="Play" w:eastAsia="Play" w:hAnsi="Play" w:cs="Play"/>
              </w:rPr>
              <w:t>2016</w:t>
            </w:r>
          </w:p>
        </w:tc>
        <w:tc>
          <w:tcPr>
            <w:tcW w:w="803" w:type="dxa"/>
            <w:tcBorders>
              <w:top w:val="single" w:sz="6" w:space="0" w:color="000000"/>
              <w:left w:val="single" w:sz="6" w:space="0" w:color="000000"/>
              <w:bottom w:val="single" w:sz="6" w:space="0" w:color="000000"/>
              <w:right w:val="single" w:sz="6" w:space="0" w:color="000000"/>
            </w:tcBorders>
          </w:tcPr>
          <w:p w14:paraId="60FE485D" w14:textId="77777777" w:rsidR="00CA74BF" w:rsidRDefault="00CA74BF" w:rsidP="00CA74BF">
            <w:pPr>
              <w:jc w:val="center"/>
              <w:rPr>
                <w:rFonts w:ascii="Play" w:eastAsia="Play" w:hAnsi="Play" w:cs="Play"/>
              </w:rPr>
            </w:pPr>
            <w:r>
              <w:rPr>
                <w:rFonts w:ascii="Play" w:eastAsia="Play" w:hAnsi="Play" w:cs="Play"/>
              </w:rPr>
              <w:t>2025</w:t>
            </w:r>
          </w:p>
        </w:tc>
        <w:tc>
          <w:tcPr>
            <w:tcW w:w="1848" w:type="dxa"/>
            <w:tcBorders>
              <w:top w:val="single" w:sz="6" w:space="0" w:color="000000"/>
              <w:left w:val="single" w:sz="6" w:space="0" w:color="000000"/>
              <w:bottom w:val="single" w:sz="6" w:space="0" w:color="000000"/>
              <w:right w:val="single" w:sz="6" w:space="0" w:color="000000"/>
            </w:tcBorders>
          </w:tcPr>
          <w:p w14:paraId="162B0BB4" w14:textId="77777777" w:rsidR="00CA74BF" w:rsidRDefault="00CA74BF" w:rsidP="00CA74BF">
            <w:pPr>
              <w:jc w:val="center"/>
              <w:rPr>
                <w:rFonts w:ascii="Play" w:eastAsia="Play" w:hAnsi="Play" w:cs="Play"/>
              </w:rPr>
            </w:pPr>
            <w:r>
              <w:rPr>
                <w:rFonts w:ascii="Play" w:eastAsia="Play" w:hAnsi="Play" w:cs="Play"/>
              </w:rPr>
              <w:t>113,542.51</w:t>
            </w:r>
          </w:p>
        </w:tc>
        <w:tc>
          <w:tcPr>
            <w:tcW w:w="1848" w:type="dxa"/>
            <w:tcBorders>
              <w:top w:val="single" w:sz="6" w:space="0" w:color="000000"/>
              <w:left w:val="single" w:sz="6" w:space="0" w:color="000000"/>
              <w:bottom w:val="single" w:sz="6" w:space="0" w:color="000000"/>
              <w:right w:val="single" w:sz="6" w:space="0" w:color="000000"/>
            </w:tcBorders>
          </w:tcPr>
          <w:p w14:paraId="0C6CABCB" w14:textId="77777777" w:rsidR="00CA74BF" w:rsidRDefault="00CA74BF" w:rsidP="00CA74BF">
            <w:pPr>
              <w:jc w:val="center"/>
              <w:rPr>
                <w:rFonts w:ascii="Play" w:eastAsia="Play" w:hAnsi="Play" w:cs="Play"/>
              </w:rPr>
            </w:pPr>
            <w:r>
              <w:rPr>
                <w:rFonts w:ascii="Play" w:eastAsia="Play" w:hAnsi="Play" w:cs="Play"/>
              </w:rPr>
              <w:t>142,219.13</w:t>
            </w:r>
          </w:p>
        </w:tc>
        <w:tc>
          <w:tcPr>
            <w:tcW w:w="1926" w:type="dxa"/>
            <w:tcBorders>
              <w:top w:val="single" w:sz="6" w:space="0" w:color="000000"/>
              <w:left w:val="single" w:sz="6" w:space="0" w:color="000000"/>
              <w:bottom w:val="single" w:sz="6" w:space="0" w:color="000000"/>
              <w:right w:val="single" w:sz="6" w:space="0" w:color="000000"/>
            </w:tcBorders>
          </w:tcPr>
          <w:p w14:paraId="40075573" w14:textId="238B367D" w:rsidR="00CA74BF" w:rsidRDefault="00CA74BF" w:rsidP="00CA74BF">
            <w:pPr>
              <w:jc w:val="center"/>
              <w:rPr>
                <w:rFonts w:ascii="Play" w:eastAsia="Play" w:hAnsi="Play" w:cs="Play"/>
              </w:rPr>
            </w:pPr>
            <w:r w:rsidRPr="00F57C84">
              <w:t>69</w:t>
            </w:r>
            <w:r w:rsidR="002D6ADA">
              <w:t>,</w:t>
            </w:r>
            <w:r w:rsidRPr="00F57C84">
              <w:t>900.13</w:t>
            </w:r>
          </w:p>
        </w:tc>
        <w:tc>
          <w:tcPr>
            <w:tcW w:w="2041" w:type="dxa"/>
            <w:tcBorders>
              <w:top w:val="single" w:sz="6" w:space="0" w:color="000000"/>
              <w:left w:val="single" w:sz="6" w:space="0" w:color="000000"/>
              <w:bottom w:val="single" w:sz="6" w:space="0" w:color="000000"/>
              <w:right w:val="single" w:sz="6" w:space="0" w:color="000000"/>
            </w:tcBorders>
          </w:tcPr>
          <w:p w14:paraId="7465FA49" w14:textId="2598B834" w:rsidR="00CA74BF" w:rsidRDefault="00CA74BF" w:rsidP="00CA74BF">
            <w:pPr>
              <w:jc w:val="center"/>
              <w:rPr>
                <w:rFonts w:ascii="Play" w:eastAsia="Play" w:hAnsi="Play" w:cs="Play"/>
              </w:rPr>
            </w:pPr>
            <w:r w:rsidRPr="00F57C84">
              <w:t>61.56</w:t>
            </w:r>
          </w:p>
        </w:tc>
      </w:tr>
    </w:tbl>
    <w:bookmarkEnd w:id="0"/>
    <w:p w14:paraId="325219A6" w14:textId="77777777" w:rsidR="007B6C90" w:rsidRDefault="00000000">
      <w:pPr>
        <w:spacing w:before="280" w:after="280"/>
        <w:jc w:val="left"/>
        <w:rPr>
          <w:rFonts w:ascii="Play" w:eastAsia="Play" w:hAnsi="Play" w:cs="Play"/>
          <w:b/>
          <w:bCs/>
          <w:sz w:val="27"/>
          <w:szCs w:val="27"/>
        </w:rPr>
      </w:pPr>
      <w:r>
        <w:rPr>
          <w:rFonts w:ascii="Play" w:eastAsia="Play" w:hAnsi="Play" w:cs="Play"/>
          <w:b/>
          <w:bCs/>
          <w:sz w:val="27"/>
          <w:szCs w:val="27"/>
        </w:rPr>
        <w:t>Sensitivity of Loss Estimates to NDVI Threshold Definition</w:t>
      </w:r>
    </w:p>
    <w:p w14:paraId="12AEB67F" w14:textId="77777777" w:rsidR="007B6C90" w:rsidRDefault="00000000">
      <w:pPr>
        <w:spacing w:before="280" w:after="280"/>
        <w:rPr>
          <w:rFonts w:ascii="Play" w:eastAsia="Play" w:hAnsi="Play" w:cs="Play"/>
        </w:rPr>
      </w:pPr>
      <w:r>
        <w:rPr>
          <w:rFonts w:ascii="Play" w:eastAsia="Play" w:hAnsi="Play" w:cs="Play"/>
        </w:rPr>
        <w:t xml:space="preserve">To assess the robustness of the findings, a sensitivity analysis was conducted to determine how the estimate of forest change varies with the NDVI threshold used to </w:t>
      </w:r>
      <w:r>
        <w:rPr>
          <w:rFonts w:ascii="Play" w:eastAsia="Play" w:hAnsi="Play" w:cs="Play"/>
        </w:rPr>
        <w:lastRenderedPageBreak/>
        <w:t xml:space="preserve">define "forest." This was accomplished by systematically recalculating forest area and </w:t>
      </w:r>
      <w:proofErr w:type="gramStart"/>
      <w:r>
        <w:rPr>
          <w:rFonts w:ascii="Play" w:eastAsia="Play" w:hAnsi="Play" w:cs="Play"/>
        </w:rPr>
        <w:t>change</w:t>
      </w:r>
      <w:proofErr w:type="gramEnd"/>
      <w:r>
        <w:rPr>
          <w:rFonts w:ascii="Play" w:eastAsia="Play" w:hAnsi="Play" w:cs="Play"/>
        </w:rPr>
        <w:t xml:space="preserve"> across NDVI thresholds ranging from 0.60 to 0.79 (see Figure 1 below).</w:t>
      </w:r>
    </w:p>
    <w:p w14:paraId="539BDAA9" w14:textId="77777777" w:rsidR="007B6C90" w:rsidRDefault="007B6C90">
      <w:pPr>
        <w:spacing w:before="280" w:after="280"/>
        <w:rPr>
          <w:rFonts w:ascii="Play" w:eastAsia="Play" w:hAnsi="Play" w:cs="Play"/>
        </w:rPr>
      </w:pPr>
    </w:p>
    <w:p w14:paraId="1D206BE6" w14:textId="77777777" w:rsidR="007B6C90" w:rsidRDefault="00000000">
      <w:pPr>
        <w:jc w:val="center"/>
        <w:rPr>
          <w:color w:val="000000"/>
          <w:u w:val="single"/>
        </w:rPr>
      </w:pPr>
      <w:r>
        <w:rPr>
          <w:color w:val="000000"/>
          <w:u w:val="single"/>
        </w:rPr>
        <w:t>Figure 1 – Sensitivity of Forest Loss to NDVI Threshold</w:t>
      </w:r>
    </w:p>
    <w:p w14:paraId="7FD81C9C" w14:textId="2394E77E" w:rsidR="007B6C90" w:rsidRPr="00D646B1" w:rsidRDefault="00D646B1">
      <w:pPr>
        <w:jc w:val="center"/>
        <w:rPr>
          <w:color w:val="EE0000"/>
        </w:rPr>
      </w:pPr>
      <w:r w:rsidRPr="00D646B1">
        <w:rPr>
          <w:noProof/>
          <w:color w:val="EE0000"/>
        </w:rPr>
        <w:drawing>
          <wp:inline distT="0" distB="0" distL="0" distR="0" wp14:anchorId="0D8A2451" wp14:editId="6F16B5D7">
            <wp:extent cx="5943600" cy="4238625"/>
            <wp:effectExtent l="0" t="0" r="0" b="0"/>
            <wp:docPr id="211764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4914"/>
                    <a:stretch>
                      <a:fillRect/>
                    </a:stretch>
                  </pic:blipFill>
                  <pic:spPr bwMode="auto">
                    <a:xfrm>
                      <a:off x="0" y="0"/>
                      <a:ext cx="5943600" cy="4238625"/>
                    </a:xfrm>
                    <a:prstGeom prst="rect">
                      <a:avLst/>
                    </a:prstGeom>
                    <a:noFill/>
                    <a:ln>
                      <a:noFill/>
                    </a:ln>
                    <a:extLst>
                      <a:ext uri="{53640926-AAD7-44D8-BBD7-CCE9431645EC}">
                        <a14:shadowObscured xmlns:a14="http://schemas.microsoft.com/office/drawing/2010/main"/>
                      </a:ext>
                    </a:extLst>
                  </pic:spPr>
                </pic:pic>
              </a:graphicData>
            </a:graphic>
          </wp:inline>
        </w:drawing>
      </w:r>
    </w:p>
    <w:p w14:paraId="20CE8682" w14:textId="77777777" w:rsidR="007B6C90" w:rsidRDefault="007B6C90">
      <w:pPr>
        <w:jc w:val="center"/>
        <w:rPr>
          <w:color w:val="EE0000"/>
          <w:u w:val="single"/>
        </w:rPr>
      </w:pPr>
    </w:p>
    <w:p w14:paraId="2E0AEA31" w14:textId="6EA1546E" w:rsidR="007B6C90" w:rsidRDefault="00000000">
      <w:pPr>
        <w:rPr>
          <w:rFonts w:ascii="Play" w:eastAsia="Play" w:hAnsi="Play" w:cs="Play"/>
        </w:rPr>
      </w:pPr>
      <w:r>
        <w:rPr>
          <w:rFonts w:ascii="Play" w:eastAsia="Play" w:hAnsi="Play" w:cs="Play"/>
        </w:rPr>
        <w:t>The analysis revealed a distinct pattern: thresholds from NDVI &gt; 0.60 to 0.6</w:t>
      </w:r>
      <w:r w:rsidR="00D646B1">
        <w:rPr>
          <w:rFonts w:ascii="Play" w:eastAsia="Play" w:hAnsi="Play" w:cs="Play"/>
        </w:rPr>
        <w:t>1</w:t>
      </w:r>
      <w:r>
        <w:rPr>
          <w:rFonts w:ascii="Play" w:eastAsia="Play" w:hAnsi="Play" w:cs="Play"/>
        </w:rPr>
        <w:t xml:space="preserve"> indicated a </w:t>
      </w:r>
      <w:r w:rsidR="00CA74BF">
        <w:rPr>
          <w:rFonts w:ascii="Play" w:eastAsia="Play" w:hAnsi="Play" w:cs="Play"/>
        </w:rPr>
        <w:t xml:space="preserve">moderate </w:t>
      </w:r>
      <w:r>
        <w:rPr>
          <w:rFonts w:ascii="Play" w:eastAsia="Play" w:hAnsi="Play" w:cs="Play"/>
        </w:rPr>
        <w:t xml:space="preserve">forest </w:t>
      </w:r>
      <w:r w:rsidR="00CA74BF">
        <w:rPr>
          <w:rFonts w:ascii="Play" w:eastAsia="Play" w:hAnsi="Play" w:cs="Play"/>
        </w:rPr>
        <w:t>loss</w:t>
      </w:r>
      <w:r>
        <w:rPr>
          <w:rFonts w:ascii="Play" w:eastAsia="Play" w:hAnsi="Play" w:cs="Play"/>
        </w:rPr>
        <w:t>, while thresholds from NDVI &gt; 0.62 to 0.7</w:t>
      </w:r>
      <w:r w:rsidR="00CA74BF">
        <w:rPr>
          <w:rFonts w:ascii="Play" w:eastAsia="Play" w:hAnsi="Play" w:cs="Play"/>
        </w:rPr>
        <w:t>0</w:t>
      </w:r>
      <w:r>
        <w:rPr>
          <w:rFonts w:ascii="Play" w:eastAsia="Play" w:hAnsi="Play" w:cs="Play"/>
        </w:rPr>
        <w:t xml:space="preserve"> showed progressively greater forest loss. The calculated forest loss peaked at 9</w:t>
      </w:r>
      <w:r w:rsidR="00CA74BF">
        <w:rPr>
          <w:rFonts w:ascii="Play" w:eastAsia="Play" w:hAnsi="Play" w:cs="Play"/>
        </w:rPr>
        <w:t>9</w:t>
      </w:r>
      <w:r>
        <w:rPr>
          <w:rFonts w:ascii="Play" w:eastAsia="Play" w:hAnsi="Play" w:cs="Play"/>
        </w:rPr>
        <w:t>.</w:t>
      </w:r>
      <w:r w:rsidR="00CA74BF">
        <w:rPr>
          <w:rFonts w:ascii="Play" w:eastAsia="Play" w:hAnsi="Play" w:cs="Play"/>
        </w:rPr>
        <w:t>63</w:t>
      </w:r>
      <w:r>
        <w:rPr>
          <w:rFonts w:ascii="Play" w:eastAsia="Play" w:hAnsi="Play" w:cs="Play"/>
        </w:rPr>
        <w:t>% with an NDVI threshold of 0.7</w:t>
      </w:r>
      <w:r w:rsidR="00CA74BF">
        <w:rPr>
          <w:rFonts w:ascii="Play" w:eastAsia="Play" w:hAnsi="Play" w:cs="Play"/>
        </w:rPr>
        <w:t>0</w:t>
      </w:r>
      <w:r>
        <w:rPr>
          <w:rFonts w:ascii="Play" w:eastAsia="Play" w:hAnsi="Play" w:cs="Play"/>
        </w:rPr>
        <w:t>. The detailed results of this sensitivity analysis are provided in Table 2.</w:t>
      </w:r>
    </w:p>
    <w:p w14:paraId="73C71FC8" w14:textId="77777777" w:rsidR="007B6C90" w:rsidRDefault="007B6C90">
      <w:pPr>
        <w:rPr>
          <w:rFonts w:ascii="Play" w:eastAsia="Play" w:hAnsi="Play" w:cs="Play"/>
        </w:rPr>
      </w:pPr>
    </w:p>
    <w:p w14:paraId="391B2E86" w14:textId="77777777" w:rsidR="007B6C90" w:rsidRDefault="00000000">
      <w:pPr>
        <w:jc w:val="center"/>
        <w:rPr>
          <w:rFonts w:ascii="Play" w:eastAsia="Play" w:hAnsi="Play" w:cs="Play"/>
          <w:u w:val="single"/>
        </w:rPr>
      </w:pPr>
      <w:r>
        <w:rPr>
          <w:rFonts w:ascii="Play" w:eastAsia="Play" w:hAnsi="Play" w:cs="Play"/>
          <w:u w:val="single"/>
        </w:rPr>
        <w:t>Table 2. Forest area change based on varying NDVI thresholds.</w:t>
      </w:r>
    </w:p>
    <w:tbl>
      <w:tblPr>
        <w:tblStyle w:val="a0"/>
        <w:tblW w:w="9344"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386"/>
        <w:gridCol w:w="1899"/>
        <w:gridCol w:w="1899"/>
        <w:gridCol w:w="1993"/>
        <w:gridCol w:w="2167"/>
      </w:tblGrid>
      <w:tr w:rsidR="007B6C90" w14:paraId="7D634824" w14:textId="77777777">
        <w:trPr>
          <w:tblHeader/>
        </w:trPr>
        <w:tc>
          <w:tcPr>
            <w:tcW w:w="1386" w:type="dxa"/>
            <w:tcBorders>
              <w:top w:val="single" w:sz="6" w:space="0" w:color="000000"/>
              <w:left w:val="single" w:sz="6" w:space="0" w:color="000000"/>
              <w:bottom w:val="single" w:sz="6" w:space="0" w:color="000000"/>
              <w:right w:val="single" w:sz="6" w:space="0" w:color="000000"/>
            </w:tcBorders>
            <w:shd w:val="clear" w:color="auto" w:fill="CAEDFB"/>
          </w:tcPr>
          <w:p w14:paraId="62D48FB0" w14:textId="77777777" w:rsidR="007B6C90" w:rsidRDefault="00000000">
            <w:pPr>
              <w:jc w:val="center"/>
              <w:rPr>
                <w:rFonts w:ascii="Play" w:eastAsia="Play" w:hAnsi="Play" w:cs="Play"/>
                <w:b/>
                <w:bCs/>
              </w:rPr>
            </w:pPr>
            <w:r>
              <w:rPr>
                <w:rFonts w:ascii="Play" w:eastAsia="Play" w:hAnsi="Play" w:cs="Play"/>
                <w:b/>
                <w:bCs/>
              </w:rPr>
              <w:t>NDVI Threshold</w:t>
            </w:r>
          </w:p>
        </w:tc>
        <w:tc>
          <w:tcPr>
            <w:tcW w:w="1899" w:type="dxa"/>
            <w:tcBorders>
              <w:top w:val="single" w:sz="6" w:space="0" w:color="000000"/>
              <w:left w:val="single" w:sz="6" w:space="0" w:color="000000"/>
              <w:bottom w:val="single" w:sz="6" w:space="0" w:color="000000"/>
              <w:right w:val="single" w:sz="6" w:space="0" w:color="000000"/>
            </w:tcBorders>
            <w:shd w:val="clear" w:color="auto" w:fill="CAEDFB"/>
          </w:tcPr>
          <w:p w14:paraId="0F9937F2" w14:textId="77777777" w:rsidR="007B6C90" w:rsidRDefault="00000000">
            <w:pPr>
              <w:jc w:val="center"/>
              <w:rPr>
                <w:rFonts w:ascii="Play" w:eastAsia="Play" w:hAnsi="Play" w:cs="Play"/>
                <w:b/>
                <w:bCs/>
              </w:rPr>
            </w:pPr>
            <w:r>
              <w:rPr>
                <w:rFonts w:ascii="Play" w:eastAsia="Play" w:hAnsi="Play" w:cs="Play"/>
                <w:b/>
                <w:bCs/>
              </w:rPr>
              <w:t>Forest Area in 2016 (ha)</w:t>
            </w:r>
          </w:p>
        </w:tc>
        <w:tc>
          <w:tcPr>
            <w:tcW w:w="1899" w:type="dxa"/>
            <w:tcBorders>
              <w:top w:val="single" w:sz="6" w:space="0" w:color="000000"/>
              <w:left w:val="single" w:sz="6" w:space="0" w:color="000000"/>
              <w:bottom w:val="single" w:sz="6" w:space="0" w:color="000000"/>
              <w:right w:val="single" w:sz="6" w:space="0" w:color="000000"/>
            </w:tcBorders>
            <w:shd w:val="clear" w:color="auto" w:fill="CAEDFB"/>
          </w:tcPr>
          <w:p w14:paraId="0403ECB3" w14:textId="77777777" w:rsidR="007B6C90" w:rsidRDefault="00000000">
            <w:pPr>
              <w:jc w:val="center"/>
              <w:rPr>
                <w:rFonts w:ascii="Play" w:eastAsia="Play" w:hAnsi="Play" w:cs="Play"/>
                <w:b/>
                <w:bCs/>
              </w:rPr>
            </w:pPr>
            <w:r>
              <w:rPr>
                <w:rFonts w:ascii="Play" w:eastAsia="Play" w:hAnsi="Play" w:cs="Play"/>
                <w:b/>
                <w:bCs/>
              </w:rPr>
              <w:t>Forest Area in 2025 (ha)</w:t>
            </w:r>
          </w:p>
        </w:tc>
        <w:tc>
          <w:tcPr>
            <w:tcW w:w="1993" w:type="dxa"/>
            <w:tcBorders>
              <w:top w:val="single" w:sz="6" w:space="0" w:color="000000"/>
              <w:left w:val="single" w:sz="6" w:space="0" w:color="000000"/>
              <w:bottom w:val="single" w:sz="6" w:space="0" w:color="000000"/>
              <w:right w:val="single" w:sz="6" w:space="0" w:color="000000"/>
            </w:tcBorders>
            <w:shd w:val="clear" w:color="auto" w:fill="CAEDFB"/>
          </w:tcPr>
          <w:p w14:paraId="259C41D5" w14:textId="4AB32E11" w:rsidR="007B6C90" w:rsidRDefault="00000000">
            <w:pPr>
              <w:jc w:val="center"/>
              <w:rPr>
                <w:rFonts w:ascii="Play" w:eastAsia="Play" w:hAnsi="Play" w:cs="Play"/>
                <w:b/>
                <w:bCs/>
              </w:rPr>
            </w:pPr>
            <w:r>
              <w:rPr>
                <w:rFonts w:ascii="Play" w:eastAsia="Play" w:hAnsi="Play" w:cs="Play"/>
                <w:b/>
                <w:bCs/>
              </w:rPr>
              <w:t xml:space="preserve">Forest </w:t>
            </w:r>
            <w:r w:rsidR="00CA74BF">
              <w:rPr>
                <w:rFonts w:ascii="Play" w:eastAsia="Play" w:hAnsi="Play" w:cs="Play"/>
                <w:b/>
                <w:bCs/>
              </w:rPr>
              <w:t xml:space="preserve">Loss </w:t>
            </w:r>
            <w:r>
              <w:rPr>
                <w:rFonts w:ascii="Play" w:eastAsia="Play" w:hAnsi="Play" w:cs="Play"/>
                <w:b/>
                <w:bCs/>
              </w:rPr>
              <w:t>(ha)</w:t>
            </w:r>
          </w:p>
        </w:tc>
        <w:tc>
          <w:tcPr>
            <w:tcW w:w="2167" w:type="dxa"/>
            <w:tcBorders>
              <w:top w:val="single" w:sz="6" w:space="0" w:color="000000"/>
              <w:left w:val="single" w:sz="6" w:space="0" w:color="000000"/>
              <w:bottom w:val="single" w:sz="6" w:space="0" w:color="000000"/>
              <w:right w:val="single" w:sz="6" w:space="0" w:color="000000"/>
            </w:tcBorders>
            <w:shd w:val="clear" w:color="auto" w:fill="CAEDFB"/>
          </w:tcPr>
          <w:p w14:paraId="769641B2" w14:textId="77777777" w:rsidR="007B6C90" w:rsidRDefault="00000000">
            <w:pPr>
              <w:jc w:val="center"/>
              <w:rPr>
                <w:rFonts w:ascii="Play" w:eastAsia="Play" w:hAnsi="Play" w:cs="Play"/>
                <w:b/>
                <w:bCs/>
              </w:rPr>
            </w:pPr>
            <w:r>
              <w:rPr>
                <w:rFonts w:ascii="Play" w:eastAsia="Play" w:hAnsi="Play" w:cs="Play"/>
                <w:b/>
                <w:bCs/>
              </w:rPr>
              <w:t>Percent Change in Forest Area</w:t>
            </w:r>
          </w:p>
        </w:tc>
      </w:tr>
      <w:tr w:rsidR="00D646B1" w14:paraId="56A332BE" w14:textId="77777777">
        <w:tc>
          <w:tcPr>
            <w:tcW w:w="1386" w:type="dxa"/>
            <w:tcBorders>
              <w:top w:val="single" w:sz="6" w:space="0" w:color="000000"/>
              <w:left w:val="single" w:sz="6" w:space="0" w:color="000000"/>
              <w:bottom w:val="single" w:sz="6" w:space="0" w:color="000000"/>
              <w:right w:val="single" w:sz="6" w:space="0" w:color="000000"/>
            </w:tcBorders>
          </w:tcPr>
          <w:p w14:paraId="64D37E4B" w14:textId="20A494EB" w:rsidR="00D646B1" w:rsidRDefault="00D646B1" w:rsidP="00D646B1">
            <w:pPr>
              <w:jc w:val="center"/>
              <w:rPr>
                <w:rFonts w:ascii="Play" w:eastAsia="Play" w:hAnsi="Play" w:cs="Play"/>
              </w:rPr>
            </w:pPr>
            <w:r w:rsidRPr="00F57C84">
              <w:t>0.6</w:t>
            </w:r>
          </w:p>
        </w:tc>
        <w:tc>
          <w:tcPr>
            <w:tcW w:w="1899" w:type="dxa"/>
            <w:tcBorders>
              <w:top w:val="single" w:sz="6" w:space="0" w:color="000000"/>
              <w:left w:val="single" w:sz="6" w:space="0" w:color="000000"/>
              <w:bottom w:val="single" w:sz="6" w:space="0" w:color="000000"/>
              <w:right w:val="single" w:sz="6" w:space="0" w:color="000000"/>
            </w:tcBorders>
          </w:tcPr>
          <w:p w14:paraId="20A0EEC5" w14:textId="26E48B79" w:rsidR="00D646B1" w:rsidRDefault="00D646B1" w:rsidP="00D646B1">
            <w:pPr>
              <w:jc w:val="center"/>
              <w:rPr>
                <w:rFonts w:ascii="Play" w:eastAsia="Play" w:hAnsi="Play" w:cs="Play"/>
              </w:rPr>
            </w:pPr>
            <w:r w:rsidRPr="00F57C84">
              <w:t>113542.51</w:t>
            </w:r>
          </w:p>
        </w:tc>
        <w:tc>
          <w:tcPr>
            <w:tcW w:w="1899" w:type="dxa"/>
            <w:tcBorders>
              <w:top w:val="single" w:sz="6" w:space="0" w:color="000000"/>
              <w:left w:val="single" w:sz="6" w:space="0" w:color="000000"/>
              <w:bottom w:val="single" w:sz="6" w:space="0" w:color="000000"/>
              <w:right w:val="single" w:sz="6" w:space="0" w:color="000000"/>
            </w:tcBorders>
          </w:tcPr>
          <w:p w14:paraId="58F4C824" w14:textId="02BCAF77" w:rsidR="00D646B1" w:rsidRDefault="00D646B1" w:rsidP="00D646B1">
            <w:pPr>
              <w:jc w:val="center"/>
              <w:rPr>
                <w:rFonts w:ascii="Play" w:eastAsia="Play" w:hAnsi="Play" w:cs="Play"/>
              </w:rPr>
            </w:pPr>
            <w:r w:rsidRPr="00F57C84">
              <w:t>142219.13</w:t>
            </w:r>
          </w:p>
        </w:tc>
        <w:tc>
          <w:tcPr>
            <w:tcW w:w="1993" w:type="dxa"/>
            <w:tcBorders>
              <w:top w:val="single" w:sz="6" w:space="0" w:color="000000"/>
              <w:left w:val="single" w:sz="6" w:space="0" w:color="000000"/>
              <w:bottom w:val="single" w:sz="6" w:space="0" w:color="000000"/>
              <w:right w:val="single" w:sz="6" w:space="0" w:color="000000"/>
            </w:tcBorders>
          </w:tcPr>
          <w:p w14:paraId="41AEFF58" w14:textId="7CC8199A" w:rsidR="00D646B1" w:rsidRDefault="00D646B1" w:rsidP="00D646B1">
            <w:pPr>
              <w:jc w:val="center"/>
              <w:rPr>
                <w:rFonts w:ascii="Play" w:eastAsia="Play" w:hAnsi="Play" w:cs="Play"/>
              </w:rPr>
            </w:pPr>
            <w:bookmarkStart w:id="1" w:name="_Hlk214973321"/>
            <w:r w:rsidRPr="00F57C84">
              <w:t>69</w:t>
            </w:r>
            <w:r w:rsidR="002D6ADA">
              <w:t>,</w:t>
            </w:r>
            <w:r w:rsidRPr="00F57C84">
              <w:t>900.13</w:t>
            </w:r>
            <w:bookmarkEnd w:id="1"/>
          </w:p>
        </w:tc>
        <w:tc>
          <w:tcPr>
            <w:tcW w:w="2167" w:type="dxa"/>
            <w:tcBorders>
              <w:top w:val="single" w:sz="6" w:space="0" w:color="000000"/>
              <w:left w:val="single" w:sz="6" w:space="0" w:color="000000"/>
              <w:bottom w:val="single" w:sz="6" w:space="0" w:color="000000"/>
              <w:right w:val="single" w:sz="6" w:space="0" w:color="000000"/>
            </w:tcBorders>
          </w:tcPr>
          <w:p w14:paraId="7186ACE1" w14:textId="40285BE4" w:rsidR="00D646B1" w:rsidRDefault="00D646B1" w:rsidP="00D646B1">
            <w:pPr>
              <w:jc w:val="center"/>
              <w:rPr>
                <w:rFonts w:ascii="Play" w:eastAsia="Play" w:hAnsi="Play" w:cs="Play"/>
              </w:rPr>
            </w:pPr>
            <w:r w:rsidRPr="00F57C84">
              <w:t>61.56</w:t>
            </w:r>
          </w:p>
        </w:tc>
      </w:tr>
      <w:tr w:rsidR="00D646B1" w14:paraId="5B462B37" w14:textId="77777777">
        <w:tc>
          <w:tcPr>
            <w:tcW w:w="1386" w:type="dxa"/>
            <w:tcBorders>
              <w:top w:val="single" w:sz="6" w:space="0" w:color="000000"/>
              <w:left w:val="single" w:sz="6" w:space="0" w:color="000000"/>
              <w:bottom w:val="single" w:sz="6" w:space="0" w:color="000000"/>
              <w:right w:val="single" w:sz="6" w:space="0" w:color="000000"/>
            </w:tcBorders>
          </w:tcPr>
          <w:p w14:paraId="4DDE785E" w14:textId="042043DF" w:rsidR="00D646B1" w:rsidRDefault="00D646B1" w:rsidP="00D646B1">
            <w:pPr>
              <w:jc w:val="center"/>
              <w:rPr>
                <w:rFonts w:ascii="Play" w:eastAsia="Play" w:hAnsi="Play" w:cs="Play"/>
              </w:rPr>
            </w:pPr>
            <w:r w:rsidRPr="00F57C84">
              <w:t>0.61</w:t>
            </w:r>
          </w:p>
        </w:tc>
        <w:tc>
          <w:tcPr>
            <w:tcW w:w="1899" w:type="dxa"/>
            <w:tcBorders>
              <w:top w:val="single" w:sz="6" w:space="0" w:color="000000"/>
              <w:left w:val="single" w:sz="6" w:space="0" w:color="000000"/>
              <w:bottom w:val="single" w:sz="6" w:space="0" w:color="000000"/>
              <w:right w:val="single" w:sz="6" w:space="0" w:color="000000"/>
            </w:tcBorders>
          </w:tcPr>
          <w:p w14:paraId="6ABC83B7" w14:textId="60DABA2A" w:rsidR="00D646B1" w:rsidRDefault="00D646B1" w:rsidP="00D646B1">
            <w:pPr>
              <w:jc w:val="center"/>
              <w:rPr>
                <w:rFonts w:ascii="Play" w:eastAsia="Play" w:hAnsi="Play" w:cs="Play"/>
              </w:rPr>
            </w:pPr>
            <w:r w:rsidRPr="00F57C84">
              <w:t>85891.65</w:t>
            </w:r>
          </w:p>
        </w:tc>
        <w:tc>
          <w:tcPr>
            <w:tcW w:w="1899" w:type="dxa"/>
            <w:tcBorders>
              <w:top w:val="single" w:sz="6" w:space="0" w:color="000000"/>
              <w:left w:val="single" w:sz="6" w:space="0" w:color="000000"/>
              <w:bottom w:val="single" w:sz="6" w:space="0" w:color="000000"/>
              <w:right w:val="single" w:sz="6" w:space="0" w:color="000000"/>
            </w:tcBorders>
          </w:tcPr>
          <w:p w14:paraId="5D15EDF4" w14:textId="18206E45" w:rsidR="00D646B1" w:rsidRDefault="00D646B1" w:rsidP="00D646B1">
            <w:pPr>
              <w:jc w:val="center"/>
              <w:rPr>
                <w:rFonts w:ascii="Play" w:eastAsia="Play" w:hAnsi="Play" w:cs="Play"/>
              </w:rPr>
            </w:pPr>
            <w:r w:rsidRPr="00F57C84">
              <w:t>95955.41</w:t>
            </w:r>
          </w:p>
        </w:tc>
        <w:tc>
          <w:tcPr>
            <w:tcW w:w="1993" w:type="dxa"/>
            <w:tcBorders>
              <w:top w:val="single" w:sz="6" w:space="0" w:color="000000"/>
              <w:left w:val="single" w:sz="6" w:space="0" w:color="000000"/>
              <w:bottom w:val="single" w:sz="6" w:space="0" w:color="000000"/>
              <w:right w:val="single" w:sz="6" w:space="0" w:color="000000"/>
            </w:tcBorders>
          </w:tcPr>
          <w:p w14:paraId="2D5687C1" w14:textId="5582C551" w:rsidR="00D646B1" w:rsidRDefault="00D646B1" w:rsidP="00D646B1">
            <w:pPr>
              <w:jc w:val="center"/>
              <w:rPr>
                <w:rFonts w:ascii="Play" w:eastAsia="Play" w:hAnsi="Play" w:cs="Play"/>
              </w:rPr>
            </w:pPr>
            <w:r w:rsidRPr="00F57C84">
              <w:t>60829.27</w:t>
            </w:r>
          </w:p>
        </w:tc>
        <w:tc>
          <w:tcPr>
            <w:tcW w:w="2167" w:type="dxa"/>
            <w:tcBorders>
              <w:top w:val="single" w:sz="6" w:space="0" w:color="000000"/>
              <w:left w:val="single" w:sz="6" w:space="0" w:color="000000"/>
              <w:bottom w:val="single" w:sz="6" w:space="0" w:color="000000"/>
              <w:right w:val="single" w:sz="6" w:space="0" w:color="000000"/>
            </w:tcBorders>
          </w:tcPr>
          <w:p w14:paraId="6BA2AFFB" w14:textId="56E169D1" w:rsidR="00D646B1" w:rsidRDefault="00D646B1" w:rsidP="00D646B1">
            <w:pPr>
              <w:jc w:val="center"/>
              <w:rPr>
                <w:rFonts w:ascii="Play" w:eastAsia="Play" w:hAnsi="Play" w:cs="Play"/>
              </w:rPr>
            </w:pPr>
            <w:r w:rsidRPr="00F57C84">
              <w:t>70.82</w:t>
            </w:r>
          </w:p>
        </w:tc>
      </w:tr>
      <w:tr w:rsidR="00D646B1" w14:paraId="08A1ED13" w14:textId="77777777">
        <w:tc>
          <w:tcPr>
            <w:tcW w:w="1386" w:type="dxa"/>
            <w:tcBorders>
              <w:top w:val="single" w:sz="6" w:space="0" w:color="000000"/>
              <w:left w:val="single" w:sz="6" w:space="0" w:color="000000"/>
              <w:bottom w:val="single" w:sz="6" w:space="0" w:color="000000"/>
              <w:right w:val="single" w:sz="6" w:space="0" w:color="000000"/>
            </w:tcBorders>
          </w:tcPr>
          <w:p w14:paraId="2DF4C0B6" w14:textId="02E9EBEE" w:rsidR="00D646B1" w:rsidRDefault="00D646B1" w:rsidP="00D646B1">
            <w:pPr>
              <w:jc w:val="center"/>
              <w:rPr>
                <w:rFonts w:ascii="Play" w:eastAsia="Play" w:hAnsi="Play" w:cs="Play"/>
              </w:rPr>
            </w:pPr>
            <w:r w:rsidRPr="00F57C84">
              <w:t>0.62</w:t>
            </w:r>
          </w:p>
        </w:tc>
        <w:tc>
          <w:tcPr>
            <w:tcW w:w="1899" w:type="dxa"/>
            <w:tcBorders>
              <w:top w:val="single" w:sz="6" w:space="0" w:color="000000"/>
              <w:left w:val="single" w:sz="6" w:space="0" w:color="000000"/>
              <w:bottom w:val="single" w:sz="6" w:space="0" w:color="000000"/>
              <w:right w:val="single" w:sz="6" w:space="0" w:color="000000"/>
            </w:tcBorders>
          </w:tcPr>
          <w:p w14:paraId="2191D6E4" w14:textId="7857B047" w:rsidR="00D646B1" w:rsidRDefault="00D646B1" w:rsidP="00D646B1">
            <w:pPr>
              <w:jc w:val="center"/>
              <w:rPr>
                <w:rFonts w:ascii="Play" w:eastAsia="Play" w:hAnsi="Play" w:cs="Play"/>
              </w:rPr>
            </w:pPr>
            <w:r w:rsidRPr="00F57C84">
              <w:t>61095.99</w:t>
            </w:r>
          </w:p>
        </w:tc>
        <w:tc>
          <w:tcPr>
            <w:tcW w:w="1899" w:type="dxa"/>
            <w:tcBorders>
              <w:top w:val="single" w:sz="6" w:space="0" w:color="000000"/>
              <w:left w:val="single" w:sz="6" w:space="0" w:color="000000"/>
              <w:bottom w:val="single" w:sz="6" w:space="0" w:color="000000"/>
              <w:right w:val="single" w:sz="6" w:space="0" w:color="000000"/>
            </w:tcBorders>
          </w:tcPr>
          <w:p w14:paraId="72EDBB52" w14:textId="7B187998" w:rsidR="00D646B1" w:rsidRDefault="00D646B1" w:rsidP="00D646B1">
            <w:pPr>
              <w:jc w:val="center"/>
              <w:rPr>
                <w:rFonts w:ascii="Play" w:eastAsia="Play" w:hAnsi="Play" w:cs="Play"/>
              </w:rPr>
            </w:pPr>
            <w:r w:rsidRPr="00F57C84">
              <w:t>59688.77</w:t>
            </w:r>
          </w:p>
        </w:tc>
        <w:tc>
          <w:tcPr>
            <w:tcW w:w="1993" w:type="dxa"/>
            <w:tcBorders>
              <w:top w:val="single" w:sz="6" w:space="0" w:color="000000"/>
              <w:left w:val="single" w:sz="6" w:space="0" w:color="000000"/>
              <w:bottom w:val="single" w:sz="6" w:space="0" w:color="000000"/>
              <w:right w:val="single" w:sz="6" w:space="0" w:color="000000"/>
            </w:tcBorders>
          </w:tcPr>
          <w:p w14:paraId="25383878" w14:textId="45DBE56D" w:rsidR="00D646B1" w:rsidRDefault="00D646B1" w:rsidP="00D646B1">
            <w:pPr>
              <w:jc w:val="center"/>
              <w:rPr>
                <w:rFonts w:ascii="Play" w:eastAsia="Play" w:hAnsi="Play" w:cs="Play"/>
              </w:rPr>
            </w:pPr>
            <w:r w:rsidRPr="00F57C84">
              <w:t>48380.65</w:t>
            </w:r>
          </w:p>
        </w:tc>
        <w:tc>
          <w:tcPr>
            <w:tcW w:w="2167" w:type="dxa"/>
            <w:tcBorders>
              <w:top w:val="single" w:sz="6" w:space="0" w:color="000000"/>
              <w:left w:val="single" w:sz="6" w:space="0" w:color="000000"/>
              <w:bottom w:val="single" w:sz="6" w:space="0" w:color="000000"/>
              <w:right w:val="single" w:sz="6" w:space="0" w:color="000000"/>
            </w:tcBorders>
          </w:tcPr>
          <w:p w14:paraId="78DB1AD9" w14:textId="56807953" w:rsidR="00D646B1" w:rsidRDefault="00D646B1" w:rsidP="00D646B1">
            <w:pPr>
              <w:jc w:val="center"/>
              <w:rPr>
                <w:rFonts w:ascii="Play" w:eastAsia="Play" w:hAnsi="Play" w:cs="Play"/>
              </w:rPr>
            </w:pPr>
            <w:r w:rsidRPr="00F57C84">
              <w:t>79.19</w:t>
            </w:r>
          </w:p>
        </w:tc>
      </w:tr>
      <w:tr w:rsidR="00D646B1" w14:paraId="3F0D2965" w14:textId="77777777">
        <w:tc>
          <w:tcPr>
            <w:tcW w:w="1386" w:type="dxa"/>
            <w:tcBorders>
              <w:top w:val="single" w:sz="6" w:space="0" w:color="000000"/>
              <w:left w:val="single" w:sz="6" w:space="0" w:color="000000"/>
              <w:bottom w:val="single" w:sz="6" w:space="0" w:color="000000"/>
              <w:right w:val="single" w:sz="6" w:space="0" w:color="000000"/>
            </w:tcBorders>
          </w:tcPr>
          <w:p w14:paraId="4710974B" w14:textId="402A1F69" w:rsidR="00D646B1" w:rsidRDefault="00D646B1" w:rsidP="00D646B1">
            <w:pPr>
              <w:jc w:val="center"/>
              <w:rPr>
                <w:rFonts w:ascii="Play" w:eastAsia="Play" w:hAnsi="Play" w:cs="Play"/>
              </w:rPr>
            </w:pPr>
            <w:r w:rsidRPr="00F57C84">
              <w:t>0.63</w:t>
            </w:r>
          </w:p>
        </w:tc>
        <w:tc>
          <w:tcPr>
            <w:tcW w:w="1899" w:type="dxa"/>
            <w:tcBorders>
              <w:top w:val="single" w:sz="6" w:space="0" w:color="000000"/>
              <w:left w:val="single" w:sz="6" w:space="0" w:color="000000"/>
              <w:bottom w:val="single" w:sz="6" w:space="0" w:color="000000"/>
              <w:right w:val="single" w:sz="6" w:space="0" w:color="000000"/>
            </w:tcBorders>
          </w:tcPr>
          <w:p w14:paraId="6288E439" w14:textId="4D1293F1" w:rsidR="00D646B1" w:rsidRDefault="00D646B1" w:rsidP="00D646B1">
            <w:pPr>
              <w:jc w:val="center"/>
              <w:rPr>
                <w:rFonts w:ascii="Play" w:eastAsia="Play" w:hAnsi="Play" w:cs="Play"/>
              </w:rPr>
            </w:pPr>
            <w:r w:rsidRPr="00F57C84">
              <w:t>40666.53</w:t>
            </w:r>
          </w:p>
        </w:tc>
        <w:tc>
          <w:tcPr>
            <w:tcW w:w="1899" w:type="dxa"/>
            <w:tcBorders>
              <w:top w:val="single" w:sz="6" w:space="0" w:color="000000"/>
              <w:left w:val="single" w:sz="6" w:space="0" w:color="000000"/>
              <w:bottom w:val="single" w:sz="6" w:space="0" w:color="000000"/>
              <w:right w:val="single" w:sz="6" w:space="0" w:color="000000"/>
            </w:tcBorders>
          </w:tcPr>
          <w:p w14:paraId="38A83F97" w14:textId="2AF90DFB" w:rsidR="00D646B1" w:rsidRDefault="00D646B1" w:rsidP="00D646B1">
            <w:pPr>
              <w:jc w:val="center"/>
              <w:rPr>
                <w:rFonts w:ascii="Play" w:eastAsia="Play" w:hAnsi="Play" w:cs="Play"/>
              </w:rPr>
            </w:pPr>
            <w:r w:rsidRPr="00F57C84">
              <w:t>34244.54</w:t>
            </w:r>
          </w:p>
        </w:tc>
        <w:tc>
          <w:tcPr>
            <w:tcW w:w="1993" w:type="dxa"/>
            <w:tcBorders>
              <w:top w:val="single" w:sz="6" w:space="0" w:color="000000"/>
              <w:left w:val="single" w:sz="6" w:space="0" w:color="000000"/>
              <w:bottom w:val="single" w:sz="6" w:space="0" w:color="000000"/>
              <w:right w:val="single" w:sz="6" w:space="0" w:color="000000"/>
            </w:tcBorders>
          </w:tcPr>
          <w:p w14:paraId="299C5860" w14:textId="45C74F2B" w:rsidR="00D646B1" w:rsidRDefault="00D646B1" w:rsidP="00D646B1">
            <w:pPr>
              <w:jc w:val="center"/>
              <w:rPr>
                <w:rFonts w:ascii="Play" w:eastAsia="Play" w:hAnsi="Play" w:cs="Play"/>
              </w:rPr>
            </w:pPr>
            <w:r w:rsidRPr="00F57C84">
              <w:t>35001.88</w:t>
            </w:r>
          </w:p>
        </w:tc>
        <w:tc>
          <w:tcPr>
            <w:tcW w:w="2167" w:type="dxa"/>
            <w:tcBorders>
              <w:top w:val="single" w:sz="6" w:space="0" w:color="000000"/>
              <w:left w:val="single" w:sz="6" w:space="0" w:color="000000"/>
              <w:bottom w:val="single" w:sz="6" w:space="0" w:color="000000"/>
              <w:right w:val="single" w:sz="6" w:space="0" w:color="000000"/>
            </w:tcBorders>
          </w:tcPr>
          <w:p w14:paraId="6DF73084" w14:textId="2C079E14" w:rsidR="00D646B1" w:rsidRDefault="00D646B1" w:rsidP="00D646B1">
            <w:pPr>
              <w:jc w:val="center"/>
              <w:rPr>
                <w:rFonts w:ascii="Play" w:eastAsia="Play" w:hAnsi="Play" w:cs="Play"/>
              </w:rPr>
            </w:pPr>
            <w:r w:rsidRPr="00F57C84">
              <w:t>86.07</w:t>
            </w:r>
          </w:p>
        </w:tc>
      </w:tr>
      <w:tr w:rsidR="00D646B1" w14:paraId="6D39B5D5" w14:textId="77777777">
        <w:tc>
          <w:tcPr>
            <w:tcW w:w="1386" w:type="dxa"/>
            <w:tcBorders>
              <w:top w:val="single" w:sz="6" w:space="0" w:color="000000"/>
              <w:left w:val="single" w:sz="6" w:space="0" w:color="000000"/>
              <w:bottom w:val="single" w:sz="6" w:space="0" w:color="000000"/>
              <w:right w:val="single" w:sz="6" w:space="0" w:color="000000"/>
            </w:tcBorders>
          </w:tcPr>
          <w:p w14:paraId="76F9E1D4" w14:textId="5B035F00" w:rsidR="00D646B1" w:rsidRDefault="00D646B1" w:rsidP="00D646B1">
            <w:pPr>
              <w:jc w:val="center"/>
              <w:rPr>
                <w:rFonts w:ascii="Play" w:eastAsia="Play" w:hAnsi="Play" w:cs="Play"/>
              </w:rPr>
            </w:pPr>
            <w:r w:rsidRPr="00F57C84">
              <w:t>0.64</w:t>
            </w:r>
          </w:p>
        </w:tc>
        <w:tc>
          <w:tcPr>
            <w:tcW w:w="1899" w:type="dxa"/>
            <w:tcBorders>
              <w:top w:val="single" w:sz="6" w:space="0" w:color="000000"/>
              <w:left w:val="single" w:sz="6" w:space="0" w:color="000000"/>
              <w:bottom w:val="single" w:sz="6" w:space="0" w:color="000000"/>
              <w:right w:val="single" w:sz="6" w:space="0" w:color="000000"/>
            </w:tcBorders>
          </w:tcPr>
          <w:p w14:paraId="6B596F8F" w14:textId="2CCA9F47" w:rsidR="00D646B1" w:rsidRDefault="00D646B1" w:rsidP="00D646B1">
            <w:pPr>
              <w:jc w:val="center"/>
              <w:rPr>
                <w:rFonts w:ascii="Play" w:eastAsia="Play" w:hAnsi="Play" w:cs="Play"/>
              </w:rPr>
            </w:pPr>
            <w:r w:rsidRPr="00F57C84">
              <w:t>25110.03</w:t>
            </w:r>
          </w:p>
        </w:tc>
        <w:tc>
          <w:tcPr>
            <w:tcW w:w="1899" w:type="dxa"/>
            <w:tcBorders>
              <w:top w:val="single" w:sz="6" w:space="0" w:color="000000"/>
              <w:left w:val="single" w:sz="6" w:space="0" w:color="000000"/>
              <w:bottom w:val="single" w:sz="6" w:space="0" w:color="000000"/>
              <w:right w:val="single" w:sz="6" w:space="0" w:color="000000"/>
            </w:tcBorders>
          </w:tcPr>
          <w:p w14:paraId="6119B05E" w14:textId="4EAA8715" w:rsidR="00D646B1" w:rsidRDefault="00D646B1" w:rsidP="00D646B1">
            <w:pPr>
              <w:jc w:val="center"/>
              <w:rPr>
                <w:rFonts w:ascii="Play" w:eastAsia="Play" w:hAnsi="Play" w:cs="Play"/>
              </w:rPr>
            </w:pPr>
            <w:r w:rsidRPr="00F57C84">
              <w:t>18249.28</w:t>
            </w:r>
          </w:p>
        </w:tc>
        <w:tc>
          <w:tcPr>
            <w:tcW w:w="1993" w:type="dxa"/>
            <w:tcBorders>
              <w:top w:val="single" w:sz="6" w:space="0" w:color="000000"/>
              <w:left w:val="single" w:sz="6" w:space="0" w:color="000000"/>
              <w:bottom w:val="single" w:sz="6" w:space="0" w:color="000000"/>
              <w:right w:val="single" w:sz="6" w:space="0" w:color="000000"/>
            </w:tcBorders>
          </w:tcPr>
          <w:p w14:paraId="318FE3E3" w14:textId="30690583" w:rsidR="00D646B1" w:rsidRDefault="00D646B1" w:rsidP="00D646B1">
            <w:pPr>
              <w:jc w:val="center"/>
              <w:rPr>
                <w:rFonts w:ascii="Play" w:eastAsia="Play" w:hAnsi="Play" w:cs="Play"/>
              </w:rPr>
            </w:pPr>
            <w:r w:rsidRPr="00F57C84">
              <w:t>22870.66</w:t>
            </w:r>
          </w:p>
        </w:tc>
        <w:tc>
          <w:tcPr>
            <w:tcW w:w="2167" w:type="dxa"/>
            <w:tcBorders>
              <w:top w:val="single" w:sz="6" w:space="0" w:color="000000"/>
              <w:left w:val="single" w:sz="6" w:space="0" w:color="000000"/>
              <w:bottom w:val="single" w:sz="6" w:space="0" w:color="000000"/>
              <w:right w:val="single" w:sz="6" w:space="0" w:color="000000"/>
            </w:tcBorders>
          </w:tcPr>
          <w:p w14:paraId="782637DB" w14:textId="0B440CD0" w:rsidR="00D646B1" w:rsidRDefault="00D646B1" w:rsidP="00D646B1">
            <w:pPr>
              <w:jc w:val="center"/>
              <w:rPr>
                <w:rFonts w:ascii="Play" w:eastAsia="Play" w:hAnsi="Play" w:cs="Play"/>
              </w:rPr>
            </w:pPr>
            <w:r w:rsidRPr="00F57C84">
              <w:t>91.08</w:t>
            </w:r>
          </w:p>
        </w:tc>
      </w:tr>
      <w:tr w:rsidR="00D646B1" w14:paraId="425EE24D" w14:textId="77777777">
        <w:tc>
          <w:tcPr>
            <w:tcW w:w="1386" w:type="dxa"/>
            <w:tcBorders>
              <w:top w:val="single" w:sz="6" w:space="0" w:color="000000"/>
              <w:left w:val="single" w:sz="6" w:space="0" w:color="000000"/>
              <w:bottom w:val="single" w:sz="6" w:space="0" w:color="000000"/>
              <w:right w:val="single" w:sz="6" w:space="0" w:color="000000"/>
            </w:tcBorders>
          </w:tcPr>
          <w:p w14:paraId="5A018E29" w14:textId="0792729A" w:rsidR="00D646B1" w:rsidRDefault="00D646B1" w:rsidP="00D646B1">
            <w:pPr>
              <w:jc w:val="center"/>
              <w:rPr>
                <w:rFonts w:ascii="Play" w:eastAsia="Play" w:hAnsi="Play" w:cs="Play"/>
              </w:rPr>
            </w:pPr>
            <w:r w:rsidRPr="00F57C84">
              <w:lastRenderedPageBreak/>
              <w:t>0.65</w:t>
            </w:r>
          </w:p>
        </w:tc>
        <w:tc>
          <w:tcPr>
            <w:tcW w:w="1899" w:type="dxa"/>
            <w:tcBorders>
              <w:top w:val="single" w:sz="6" w:space="0" w:color="000000"/>
              <w:left w:val="single" w:sz="6" w:space="0" w:color="000000"/>
              <w:bottom w:val="single" w:sz="6" w:space="0" w:color="000000"/>
              <w:right w:val="single" w:sz="6" w:space="0" w:color="000000"/>
            </w:tcBorders>
          </w:tcPr>
          <w:p w14:paraId="08B79663" w14:textId="62816849" w:rsidR="00D646B1" w:rsidRDefault="00D646B1" w:rsidP="00D646B1">
            <w:pPr>
              <w:jc w:val="center"/>
              <w:rPr>
                <w:rFonts w:ascii="Play" w:eastAsia="Play" w:hAnsi="Play" w:cs="Play"/>
              </w:rPr>
            </w:pPr>
            <w:r w:rsidRPr="00F57C84">
              <w:t>14211.45</w:t>
            </w:r>
          </w:p>
        </w:tc>
        <w:tc>
          <w:tcPr>
            <w:tcW w:w="1899" w:type="dxa"/>
            <w:tcBorders>
              <w:top w:val="single" w:sz="6" w:space="0" w:color="000000"/>
              <w:left w:val="single" w:sz="6" w:space="0" w:color="000000"/>
              <w:bottom w:val="single" w:sz="6" w:space="0" w:color="000000"/>
              <w:right w:val="single" w:sz="6" w:space="0" w:color="000000"/>
            </w:tcBorders>
          </w:tcPr>
          <w:p w14:paraId="0610FF21" w14:textId="794DA958" w:rsidR="00D646B1" w:rsidRDefault="00D646B1" w:rsidP="00D646B1">
            <w:pPr>
              <w:jc w:val="center"/>
              <w:rPr>
                <w:rFonts w:ascii="Play" w:eastAsia="Play" w:hAnsi="Play" w:cs="Play"/>
              </w:rPr>
            </w:pPr>
            <w:r w:rsidRPr="00F57C84">
              <w:t>9057.48</w:t>
            </w:r>
          </w:p>
        </w:tc>
        <w:tc>
          <w:tcPr>
            <w:tcW w:w="1993" w:type="dxa"/>
            <w:tcBorders>
              <w:top w:val="single" w:sz="6" w:space="0" w:color="000000"/>
              <w:left w:val="single" w:sz="6" w:space="0" w:color="000000"/>
              <w:bottom w:val="single" w:sz="6" w:space="0" w:color="000000"/>
              <w:right w:val="single" w:sz="6" w:space="0" w:color="000000"/>
            </w:tcBorders>
          </w:tcPr>
          <w:p w14:paraId="55183A14" w14:textId="7DC6B526" w:rsidR="00D646B1" w:rsidRDefault="00D646B1" w:rsidP="00D646B1">
            <w:pPr>
              <w:jc w:val="center"/>
              <w:rPr>
                <w:rFonts w:ascii="Play" w:eastAsia="Play" w:hAnsi="Play" w:cs="Play"/>
              </w:rPr>
            </w:pPr>
            <w:r w:rsidRPr="00F57C84">
              <w:t>13423.89</w:t>
            </w:r>
          </w:p>
        </w:tc>
        <w:tc>
          <w:tcPr>
            <w:tcW w:w="2167" w:type="dxa"/>
            <w:tcBorders>
              <w:top w:val="single" w:sz="6" w:space="0" w:color="000000"/>
              <w:left w:val="single" w:sz="6" w:space="0" w:color="000000"/>
              <w:bottom w:val="single" w:sz="6" w:space="0" w:color="000000"/>
              <w:right w:val="single" w:sz="6" w:space="0" w:color="000000"/>
            </w:tcBorders>
          </w:tcPr>
          <w:p w14:paraId="1D78E7BC" w14:textId="337C2CFE" w:rsidR="00D646B1" w:rsidRDefault="00D646B1" w:rsidP="00D646B1">
            <w:pPr>
              <w:jc w:val="center"/>
              <w:rPr>
                <w:rFonts w:ascii="Play" w:eastAsia="Play" w:hAnsi="Play" w:cs="Play"/>
              </w:rPr>
            </w:pPr>
            <w:r w:rsidRPr="00F57C84">
              <w:t>94.46</w:t>
            </w:r>
          </w:p>
        </w:tc>
      </w:tr>
      <w:tr w:rsidR="00D646B1" w14:paraId="44276615" w14:textId="77777777">
        <w:tc>
          <w:tcPr>
            <w:tcW w:w="1386" w:type="dxa"/>
            <w:tcBorders>
              <w:top w:val="single" w:sz="6" w:space="0" w:color="000000"/>
              <w:left w:val="single" w:sz="6" w:space="0" w:color="000000"/>
              <w:bottom w:val="single" w:sz="6" w:space="0" w:color="000000"/>
              <w:right w:val="single" w:sz="6" w:space="0" w:color="000000"/>
            </w:tcBorders>
          </w:tcPr>
          <w:p w14:paraId="4D1C76FE" w14:textId="78F05093" w:rsidR="00D646B1" w:rsidRDefault="00D646B1" w:rsidP="00D646B1">
            <w:pPr>
              <w:jc w:val="center"/>
              <w:rPr>
                <w:rFonts w:ascii="Play" w:eastAsia="Play" w:hAnsi="Play" w:cs="Play"/>
              </w:rPr>
            </w:pPr>
            <w:r w:rsidRPr="00F57C84">
              <w:t>0.66</w:t>
            </w:r>
          </w:p>
        </w:tc>
        <w:tc>
          <w:tcPr>
            <w:tcW w:w="1899" w:type="dxa"/>
            <w:tcBorders>
              <w:top w:val="single" w:sz="6" w:space="0" w:color="000000"/>
              <w:left w:val="single" w:sz="6" w:space="0" w:color="000000"/>
              <w:bottom w:val="single" w:sz="6" w:space="0" w:color="000000"/>
              <w:right w:val="single" w:sz="6" w:space="0" w:color="000000"/>
            </w:tcBorders>
          </w:tcPr>
          <w:p w14:paraId="580DD200" w14:textId="37A3DE21" w:rsidR="00D646B1" w:rsidRDefault="00D646B1" w:rsidP="00D646B1">
            <w:pPr>
              <w:jc w:val="center"/>
              <w:rPr>
                <w:rFonts w:ascii="Play" w:eastAsia="Play" w:hAnsi="Play" w:cs="Play"/>
              </w:rPr>
            </w:pPr>
            <w:r w:rsidRPr="00F57C84">
              <w:t>7311.65</w:t>
            </w:r>
          </w:p>
        </w:tc>
        <w:tc>
          <w:tcPr>
            <w:tcW w:w="1899" w:type="dxa"/>
            <w:tcBorders>
              <w:top w:val="single" w:sz="6" w:space="0" w:color="000000"/>
              <w:left w:val="single" w:sz="6" w:space="0" w:color="000000"/>
              <w:bottom w:val="single" w:sz="6" w:space="0" w:color="000000"/>
              <w:right w:val="single" w:sz="6" w:space="0" w:color="000000"/>
            </w:tcBorders>
          </w:tcPr>
          <w:p w14:paraId="253E4123" w14:textId="6293B555" w:rsidR="00D646B1" w:rsidRDefault="00D646B1" w:rsidP="00D646B1">
            <w:pPr>
              <w:jc w:val="center"/>
              <w:rPr>
                <w:rFonts w:ascii="Play" w:eastAsia="Play" w:hAnsi="Play" w:cs="Play"/>
              </w:rPr>
            </w:pPr>
            <w:r w:rsidRPr="00F57C84">
              <w:t>4141.9</w:t>
            </w:r>
          </w:p>
        </w:tc>
        <w:tc>
          <w:tcPr>
            <w:tcW w:w="1993" w:type="dxa"/>
            <w:tcBorders>
              <w:top w:val="single" w:sz="6" w:space="0" w:color="000000"/>
              <w:left w:val="single" w:sz="6" w:space="0" w:color="000000"/>
              <w:bottom w:val="single" w:sz="6" w:space="0" w:color="000000"/>
              <w:right w:val="single" w:sz="6" w:space="0" w:color="000000"/>
            </w:tcBorders>
          </w:tcPr>
          <w:p w14:paraId="6055AE36" w14:textId="3DB0DB40" w:rsidR="00D646B1" w:rsidRDefault="00D646B1" w:rsidP="00D646B1">
            <w:pPr>
              <w:jc w:val="center"/>
              <w:rPr>
                <w:rFonts w:ascii="Play" w:eastAsia="Play" w:hAnsi="Play" w:cs="Play"/>
              </w:rPr>
            </w:pPr>
            <w:r w:rsidRPr="00F57C84">
              <w:t>7063.62</w:t>
            </w:r>
          </w:p>
        </w:tc>
        <w:tc>
          <w:tcPr>
            <w:tcW w:w="2167" w:type="dxa"/>
            <w:tcBorders>
              <w:top w:val="single" w:sz="6" w:space="0" w:color="000000"/>
              <w:left w:val="single" w:sz="6" w:space="0" w:color="000000"/>
              <w:bottom w:val="single" w:sz="6" w:space="0" w:color="000000"/>
              <w:right w:val="single" w:sz="6" w:space="0" w:color="000000"/>
            </w:tcBorders>
          </w:tcPr>
          <w:p w14:paraId="520926EE" w14:textId="2A5508E3" w:rsidR="00D646B1" w:rsidRDefault="00D646B1" w:rsidP="00D646B1">
            <w:pPr>
              <w:jc w:val="center"/>
              <w:rPr>
                <w:rFonts w:ascii="Play" w:eastAsia="Play" w:hAnsi="Play" w:cs="Play"/>
              </w:rPr>
            </w:pPr>
            <w:r w:rsidRPr="00F57C84">
              <w:t>96.61</w:t>
            </w:r>
          </w:p>
        </w:tc>
      </w:tr>
      <w:tr w:rsidR="00D646B1" w14:paraId="53A796C1" w14:textId="77777777">
        <w:tc>
          <w:tcPr>
            <w:tcW w:w="1386" w:type="dxa"/>
            <w:tcBorders>
              <w:top w:val="single" w:sz="6" w:space="0" w:color="000000"/>
              <w:left w:val="single" w:sz="6" w:space="0" w:color="000000"/>
              <w:bottom w:val="single" w:sz="6" w:space="0" w:color="000000"/>
              <w:right w:val="single" w:sz="6" w:space="0" w:color="000000"/>
            </w:tcBorders>
          </w:tcPr>
          <w:p w14:paraId="36840381" w14:textId="6976EA42" w:rsidR="00D646B1" w:rsidRDefault="00D646B1" w:rsidP="00D646B1">
            <w:pPr>
              <w:jc w:val="center"/>
              <w:rPr>
                <w:rFonts w:ascii="Play" w:eastAsia="Play" w:hAnsi="Play" w:cs="Play"/>
              </w:rPr>
            </w:pPr>
            <w:r w:rsidRPr="00F57C84">
              <w:t>0.67</w:t>
            </w:r>
          </w:p>
        </w:tc>
        <w:tc>
          <w:tcPr>
            <w:tcW w:w="1899" w:type="dxa"/>
            <w:tcBorders>
              <w:top w:val="single" w:sz="6" w:space="0" w:color="000000"/>
              <w:left w:val="single" w:sz="6" w:space="0" w:color="000000"/>
              <w:bottom w:val="single" w:sz="6" w:space="0" w:color="000000"/>
              <w:right w:val="single" w:sz="6" w:space="0" w:color="000000"/>
            </w:tcBorders>
          </w:tcPr>
          <w:p w14:paraId="01873778" w14:textId="062E71F7" w:rsidR="00D646B1" w:rsidRDefault="00D646B1" w:rsidP="00D646B1">
            <w:pPr>
              <w:jc w:val="center"/>
              <w:rPr>
                <w:rFonts w:ascii="Play" w:eastAsia="Play" w:hAnsi="Play" w:cs="Play"/>
              </w:rPr>
            </w:pPr>
            <w:r w:rsidRPr="00F57C84">
              <w:t>3382.14</w:t>
            </w:r>
          </w:p>
        </w:tc>
        <w:tc>
          <w:tcPr>
            <w:tcW w:w="1899" w:type="dxa"/>
            <w:tcBorders>
              <w:top w:val="single" w:sz="6" w:space="0" w:color="000000"/>
              <w:left w:val="single" w:sz="6" w:space="0" w:color="000000"/>
              <w:bottom w:val="single" w:sz="6" w:space="0" w:color="000000"/>
              <w:right w:val="single" w:sz="6" w:space="0" w:color="000000"/>
            </w:tcBorders>
          </w:tcPr>
          <w:p w14:paraId="3B67B4A3" w14:textId="51BBC535" w:rsidR="00D646B1" w:rsidRDefault="00D646B1" w:rsidP="00D646B1">
            <w:pPr>
              <w:jc w:val="center"/>
              <w:rPr>
                <w:rFonts w:ascii="Play" w:eastAsia="Play" w:hAnsi="Play" w:cs="Play"/>
              </w:rPr>
            </w:pPr>
            <w:r w:rsidRPr="00F57C84">
              <w:t>1690.23</w:t>
            </w:r>
          </w:p>
        </w:tc>
        <w:tc>
          <w:tcPr>
            <w:tcW w:w="1993" w:type="dxa"/>
            <w:tcBorders>
              <w:top w:val="single" w:sz="6" w:space="0" w:color="000000"/>
              <w:left w:val="single" w:sz="6" w:space="0" w:color="000000"/>
              <w:bottom w:val="single" w:sz="6" w:space="0" w:color="000000"/>
              <w:right w:val="single" w:sz="6" w:space="0" w:color="000000"/>
            </w:tcBorders>
          </w:tcPr>
          <w:p w14:paraId="148993FB" w14:textId="512E646A" w:rsidR="00D646B1" w:rsidRDefault="00D646B1" w:rsidP="00D646B1">
            <w:pPr>
              <w:jc w:val="center"/>
              <w:rPr>
                <w:rFonts w:ascii="Play" w:eastAsia="Play" w:hAnsi="Play" w:cs="Play"/>
              </w:rPr>
            </w:pPr>
            <w:r w:rsidRPr="00F57C84">
              <w:t>3314.29</w:t>
            </w:r>
          </w:p>
        </w:tc>
        <w:tc>
          <w:tcPr>
            <w:tcW w:w="2167" w:type="dxa"/>
            <w:tcBorders>
              <w:top w:val="single" w:sz="6" w:space="0" w:color="000000"/>
              <w:left w:val="single" w:sz="6" w:space="0" w:color="000000"/>
              <w:bottom w:val="single" w:sz="6" w:space="0" w:color="000000"/>
              <w:right w:val="single" w:sz="6" w:space="0" w:color="000000"/>
            </w:tcBorders>
          </w:tcPr>
          <w:p w14:paraId="7CFEBD0D" w14:textId="52065441" w:rsidR="00D646B1" w:rsidRDefault="00D646B1" w:rsidP="00D646B1">
            <w:pPr>
              <w:jc w:val="center"/>
              <w:rPr>
                <w:rFonts w:ascii="Play" w:eastAsia="Play" w:hAnsi="Play" w:cs="Play"/>
              </w:rPr>
            </w:pPr>
            <w:r w:rsidRPr="00F57C84">
              <w:t>97.99</w:t>
            </w:r>
          </w:p>
        </w:tc>
      </w:tr>
      <w:tr w:rsidR="00D646B1" w14:paraId="49F09BBA" w14:textId="77777777">
        <w:tc>
          <w:tcPr>
            <w:tcW w:w="1386" w:type="dxa"/>
            <w:tcBorders>
              <w:top w:val="single" w:sz="6" w:space="0" w:color="000000"/>
              <w:left w:val="single" w:sz="6" w:space="0" w:color="000000"/>
              <w:bottom w:val="single" w:sz="6" w:space="0" w:color="000000"/>
              <w:right w:val="single" w:sz="6" w:space="0" w:color="000000"/>
            </w:tcBorders>
          </w:tcPr>
          <w:p w14:paraId="5F4F4DD7" w14:textId="0B010B18" w:rsidR="00D646B1" w:rsidRDefault="00D646B1" w:rsidP="00D646B1">
            <w:pPr>
              <w:jc w:val="center"/>
              <w:rPr>
                <w:rFonts w:ascii="Play" w:eastAsia="Play" w:hAnsi="Play" w:cs="Play"/>
              </w:rPr>
            </w:pPr>
            <w:r w:rsidRPr="00F57C84">
              <w:t>0.68</w:t>
            </w:r>
          </w:p>
        </w:tc>
        <w:tc>
          <w:tcPr>
            <w:tcW w:w="1899" w:type="dxa"/>
            <w:tcBorders>
              <w:top w:val="single" w:sz="6" w:space="0" w:color="000000"/>
              <w:left w:val="single" w:sz="6" w:space="0" w:color="000000"/>
              <w:bottom w:val="single" w:sz="6" w:space="0" w:color="000000"/>
              <w:right w:val="single" w:sz="6" w:space="0" w:color="000000"/>
            </w:tcBorders>
          </w:tcPr>
          <w:p w14:paraId="006A283F" w14:textId="786F57E3" w:rsidR="00D646B1" w:rsidRDefault="00D646B1" w:rsidP="00D646B1">
            <w:pPr>
              <w:jc w:val="center"/>
              <w:rPr>
                <w:rFonts w:ascii="Play" w:eastAsia="Play" w:hAnsi="Play" w:cs="Play"/>
              </w:rPr>
            </w:pPr>
            <w:r w:rsidRPr="00F57C84">
              <w:t>1397.06</w:t>
            </w:r>
          </w:p>
        </w:tc>
        <w:tc>
          <w:tcPr>
            <w:tcW w:w="1899" w:type="dxa"/>
            <w:tcBorders>
              <w:top w:val="single" w:sz="6" w:space="0" w:color="000000"/>
              <w:left w:val="single" w:sz="6" w:space="0" w:color="000000"/>
              <w:bottom w:val="single" w:sz="6" w:space="0" w:color="000000"/>
              <w:right w:val="single" w:sz="6" w:space="0" w:color="000000"/>
            </w:tcBorders>
          </w:tcPr>
          <w:p w14:paraId="0396A506" w14:textId="1EA4D576" w:rsidR="00D646B1" w:rsidRDefault="00D646B1" w:rsidP="00D646B1">
            <w:pPr>
              <w:jc w:val="center"/>
              <w:rPr>
                <w:rFonts w:ascii="Play" w:eastAsia="Play" w:hAnsi="Play" w:cs="Play"/>
              </w:rPr>
            </w:pPr>
            <w:r w:rsidRPr="00F57C84">
              <w:t>580.09</w:t>
            </w:r>
          </w:p>
        </w:tc>
        <w:tc>
          <w:tcPr>
            <w:tcW w:w="1993" w:type="dxa"/>
            <w:tcBorders>
              <w:top w:val="single" w:sz="6" w:space="0" w:color="000000"/>
              <w:left w:val="single" w:sz="6" w:space="0" w:color="000000"/>
              <w:bottom w:val="single" w:sz="6" w:space="0" w:color="000000"/>
              <w:right w:val="single" w:sz="6" w:space="0" w:color="000000"/>
            </w:tcBorders>
          </w:tcPr>
          <w:p w14:paraId="45458A22" w14:textId="24BD68BC" w:rsidR="00D646B1" w:rsidRDefault="00D646B1" w:rsidP="00D646B1">
            <w:pPr>
              <w:jc w:val="center"/>
              <w:rPr>
                <w:rFonts w:ascii="Play" w:eastAsia="Play" w:hAnsi="Play" w:cs="Play"/>
              </w:rPr>
            </w:pPr>
            <w:r w:rsidRPr="00F57C84">
              <w:t>1382.06</w:t>
            </w:r>
          </w:p>
        </w:tc>
        <w:tc>
          <w:tcPr>
            <w:tcW w:w="2167" w:type="dxa"/>
            <w:tcBorders>
              <w:top w:val="single" w:sz="6" w:space="0" w:color="000000"/>
              <w:left w:val="single" w:sz="6" w:space="0" w:color="000000"/>
              <w:bottom w:val="single" w:sz="6" w:space="0" w:color="000000"/>
              <w:right w:val="single" w:sz="6" w:space="0" w:color="000000"/>
            </w:tcBorders>
          </w:tcPr>
          <w:p w14:paraId="17D10D1C" w14:textId="55115542" w:rsidR="00D646B1" w:rsidRDefault="00D646B1" w:rsidP="00D646B1">
            <w:pPr>
              <w:jc w:val="center"/>
              <w:rPr>
                <w:rFonts w:ascii="Play" w:eastAsia="Play" w:hAnsi="Play" w:cs="Play"/>
              </w:rPr>
            </w:pPr>
            <w:r w:rsidRPr="00F57C84">
              <w:t>98.93</w:t>
            </w:r>
          </w:p>
        </w:tc>
      </w:tr>
      <w:tr w:rsidR="00D646B1" w14:paraId="594E206F" w14:textId="77777777">
        <w:tc>
          <w:tcPr>
            <w:tcW w:w="1386" w:type="dxa"/>
            <w:tcBorders>
              <w:top w:val="single" w:sz="6" w:space="0" w:color="000000"/>
              <w:left w:val="single" w:sz="6" w:space="0" w:color="000000"/>
              <w:bottom w:val="single" w:sz="6" w:space="0" w:color="000000"/>
              <w:right w:val="single" w:sz="6" w:space="0" w:color="000000"/>
            </w:tcBorders>
          </w:tcPr>
          <w:p w14:paraId="2E92FD06" w14:textId="55D092F7" w:rsidR="00D646B1" w:rsidRDefault="00D646B1" w:rsidP="00D646B1">
            <w:pPr>
              <w:jc w:val="center"/>
              <w:rPr>
                <w:rFonts w:ascii="Play" w:eastAsia="Play" w:hAnsi="Play" w:cs="Play"/>
              </w:rPr>
            </w:pPr>
            <w:r w:rsidRPr="00F57C84">
              <w:t>0.69</w:t>
            </w:r>
          </w:p>
        </w:tc>
        <w:tc>
          <w:tcPr>
            <w:tcW w:w="1899" w:type="dxa"/>
            <w:tcBorders>
              <w:top w:val="single" w:sz="6" w:space="0" w:color="000000"/>
              <w:left w:val="single" w:sz="6" w:space="0" w:color="000000"/>
              <w:bottom w:val="single" w:sz="6" w:space="0" w:color="000000"/>
              <w:right w:val="single" w:sz="6" w:space="0" w:color="000000"/>
            </w:tcBorders>
          </w:tcPr>
          <w:p w14:paraId="58018979" w14:textId="2EB1712B" w:rsidR="00D646B1" w:rsidRDefault="00D646B1" w:rsidP="00D646B1">
            <w:pPr>
              <w:jc w:val="center"/>
              <w:rPr>
                <w:rFonts w:ascii="Play" w:eastAsia="Play" w:hAnsi="Play" w:cs="Play"/>
              </w:rPr>
            </w:pPr>
            <w:r w:rsidRPr="00F57C84">
              <w:t>515.48</w:t>
            </w:r>
          </w:p>
        </w:tc>
        <w:tc>
          <w:tcPr>
            <w:tcW w:w="1899" w:type="dxa"/>
            <w:tcBorders>
              <w:top w:val="single" w:sz="6" w:space="0" w:color="000000"/>
              <w:left w:val="single" w:sz="6" w:space="0" w:color="000000"/>
              <w:bottom w:val="single" w:sz="6" w:space="0" w:color="000000"/>
              <w:right w:val="single" w:sz="6" w:space="0" w:color="000000"/>
            </w:tcBorders>
          </w:tcPr>
          <w:p w14:paraId="4E03CCEF" w14:textId="4486351F" w:rsidR="00D646B1" w:rsidRDefault="00D646B1" w:rsidP="00D646B1">
            <w:pPr>
              <w:jc w:val="center"/>
              <w:rPr>
                <w:rFonts w:ascii="Play" w:eastAsia="Play" w:hAnsi="Play" w:cs="Play"/>
              </w:rPr>
            </w:pPr>
            <w:r w:rsidRPr="00F57C84">
              <w:t>158.02</w:t>
            </w:r>
          </w:p>
        </w:tc>
        <w:tc>
          <w:tcPr>
            <w:tcW w:w="1993" w:type="dxa"/>
            <w:tcBorders>
              <w:top w:val="single" w:sz="6" w:space="0" w:color="000000"/>
              <w:left w:val="single" w:sz="6" w:space="0" w:color="000000"/>
              <w:bottom w:val="single" w:sz="6" w:space="0" w:color="000000"/>
              <w:right w:val="single" w:sz="6" w:space="0" w:color="000000"/>
            </w:tcBorders>
          </w:tcPr>
          <w:p w14:paraId="02D9CED6" w14:textId="7536E917" w:rsidR="00D646B1" w:rsidRDefault="00D646B1" w:rsidP="00D646B1">
            <w:pPr>
              <w:jc w:val="center"/>
              <w:rPr>
                <w:rFonts w:ascii="Play" w:eastAsia="Play" w:hAnsi="Play" w:cs="Play"/>
              </w:rPr>
            </w:pPr>
            <w:r w:rsidRPr="00F57C84">
              <w:t>512.6</w:t>
            </w:r>
          </w:p>
        </w:tc>
        <w:tc>
          <w:tcPr>
            <w:tcW w:w="2167" w:type="dxa"/>
            <w:tcBorders>
              <w:top w:val="single" w:sz="6" w:space="0" w:color="000000"/>
              <w:left w:val="single" w:sz="6" w:space="0" w:color="000000"/>
              <w:bottom w:val="single" w:sz="6" w:space="0" w:color="000000"/>
              <w:right w:val="single" w:sz="6" w:space="0" w:color="000000"/>
            </w:tcBorders>
          </w:tcPr>
          <w:p w14:paraId="78E08B54" w14:textId="49B69FDE" w:rsidR="00D646B1" w:rsidRDefault="00D646B1" w:rsidP="00D646B1">
            <w:pPr>
              <w:jc w:val="center"/>
              <w:rPr>
                <w:rFonts w:ascii="Play" w:eastAsia="Play" w:hAnsi="Play" w:cs="Play"/>
              </w:rPr>
            </w:pPr>
            <w:r w:rsidRPr="00F57C84">
              <w:t>99.44</w:t>
            </w:r>
          </w:p>
        </w:tc>
      </w:tr>
      <w:tr w:rsidR="00D646B1" w14:paraId="1DC2F4C9" w14:textId="77777777">
        <w:tc>
          <w:tcPr>
            <w:tcW w:w="1386" w:type="dxa"/>
            <w:tcBorders>
              <w:top w:val="single" w:sz="6" w:space="0" w:color="000000"/>
              <w:left w:val="single" w:sz="6" w:space="0" w:color="000000"/>
              <w:bottom w:val="single" w:sz="6" w:space="0" w:color="000000"/>
              <w:right w:val="single" w:sz="6" w:space="0" w:color="000000"/>
            </w:tcBorders>
          </w:tcPr>
          <w:p w14:paraId="253F2A1A" w14:textId="2AC94B2D" w:rsidR="00D646B1" w:rsidRDefault="00D646B1" w:rsidP="00D646B1">
            <w:pPr>
              <w:jc w:val="center"/>
              <w:rPr>
                <w:rFonts w:ascii="Play" w:eastAsia="Play" w:hAnsi="Play" w:cs="Play"/>
              </w:rPr>
            </w:pPr>
            <w:r w:rsidRPr="00F57C84">
              <w:t>0.7</w:t>
            </w:r>
          </w:p>
        </w:tc>
        <w:tc>
          <w:tcPr>
            <w:tcW w:w="1899" w:type="dxa"/>
            <w:tcBorders>
              <w:top w:val="single" w:sz="6" w:space="0" w:color="000000"/>
              <w:left w:val="single" w:sz="6" w:space="0" w:color="000000"/>
              <w:bottom w:val="single" w:sz="6" w:space="0" w:color="000000"/>
              <w:right w:val="single" w:sz="6" w:space="0" w:color="000000"/>
            </w:tcBorders>
          </w:tcPr>
          <w:p w14:paraId="033EF0E1" w14:textId="7F3F0B5F" w:rsidR="00D646B1" w:rsidRDefault="00D646B1" w:rsidP="00D646B1">
            <w:pPr>
              <w:jc w:val="center"/>
              <w:rPr>
                <w:rFonts w:ascii="Play" w:eastAsia="Play" w:hAnsi="Play" w:cs="Play"/>
              </w:rPr>
            </w:pPr>
            <w:r w:rsidRPr="00F57C84">
              <w:t>168.42</w:t>
            </w:r>
          </w:p>
        </w:tc>
        <w:tc>
          <w:tcPr>
            <w:tcW w:w="1899" w:type="dxa"/>
            <w:tcBorders>
              <w:top w:val="single" w:sz="6" w:space="0" w:color="000000"/>
              <w:left w:val="single" w:sz="6" w:space="0" w:color="000000"/>
              <w:bottom w:val="single" w:sz="6" w:space="0" w:color="000000"/>
              <w:right w:val="single" w:sz="6" w:space="0" w:color="000000"/>
            </w:tcBorders>
          </w:tcPr>
          <w:p w14:paraId="20AB9B84" w14:textId="253248A5" w:rsidR="00D646B1" w:rsidRDefault="00D646B1" w:rsidP="00D646B1">
            <w:pPr>
              <w:jc w:val="center"/>
              <w:rPr>
                <w:rFonts w:ascii="Play" w:eastAsia="Play" w:hAnsi="Play" w:cs="Play"/>
              </w:rPr>
            </w:pPr>
            <w:r w:rsidRPr="00F57C84">
              <w:t>32.11</w:t>
            </w:r>
          </w:p>
        </w:tc>
        <w:tc>
          <w:tcPr>
            <w:tcW w:w="1993" w:type="dxa"/>
            <w:tcBorders>
              <w:top w:val="single" w:sz="6" w:space="0" w:color="000000"/>
              <w:left w:val="single" w:sz="6" w:space="0" w:color="000000"/>
              <w:bottom w:val="single" w:sz="6" w:space="0" w:color="000000"/>
              <w:right w:val="single" w:sz="6" w:space="0" w:color="000000"/>
            </w:tcBorders>
          </w:tcPr>
          <w:p w14:paraId="7279DE22" w14:textId="16F25D15" w:rsidR="00D646B1" w:rsidRDefault="00D646B1" w:rsidP="00D646B1">
            <w:pPr>
              <w:jc w:val="center"/>
              <w:rPr>
                <w:rFonts w:ascii="Play" w:eastAsia="Play" w:hAnsi="Play" w:cs="Play"/>
              </w:rPr>
            </w:pPr>
            <w:r w:rsidRPr="00F57C84">
              <w:t>167.8</w:t>
            </w:r>
          </w:p>
        </w:tc>
        <w:tc>
          <w:tcPr>
            <w:tcW w:w="2167" w:type="dxa"/>
            <w:tcBorders>
              <w:top w:val="single" w:sz="6" w:space="0" w:color="000000"/>
              <w:left w:val="single" w:sz="6" w:space="0" w:color="000000"/>
              <w:bottom w:val="single" w:sz="6" w:space="0" w:color="000000"/>
              <w:right w:val="single" w:sz="6" w:space="0" w:color="000000"/>
            </w:tcBorders>
          </w:tcPr>
          <w:p w14:paraId="484BC49F" w14:textId="209510A1" w:rsidR="00D646B1" w:rsidRDefault="00D646B1" w:rsidP="00D646B1">
            <w:pPr>
              <w:jc w:val="center"/>
              <w:rPr>
                <w:rFonts w:ascii="Play" w:eastAsia="Play" w:hAnsi="Play" w:cs="Play"/>
              </w:rPr>
            </w:pPr>
            <w:r w:rsidRPr="00F57C84">
              <w:t>99.63</w:t>
            </w:r>
          </w:p>
        </w:tc>
      </w:tr>
      <w:tr w:rsidR="00D646B1" w14:paraId="6CEA57D3" w14:textId="77777777">
        <w:tc>
          <w:tcPr>
            <w:tcW w:w="1386" w:type="dxa"/>
            <w:tcBorders>
              <w:top w:val="single" w:sz="6" w:space="0" w:color="000000"/>
              <w:left w:val="single" w:sz="6" w:space="0" w:color="000000"/>
              <w:bottom w:val="single" w:sz="6" w:space="0" w:color="000000"/>
              <w:right w:val="single" w:sz="6" w:space="0" w:color="000000"/>
            </w:tcBorders>
          </w:tcPr>
          <w:p w14:paraId="5B358182" w14:textId="0272F8C0" w:rsidR="00D646B1" w:rsidRDefault="00D646B1" w:rsidP="00D646B1">
            <w:pPr>
              <w:jc w:val="center"/>
              <w:rPr>
                <w:rFonts w:ascii="Play" w:eastAsia="Play" w:hAnsi="Play" w:cs="Play"/>
              </w:rPr>
            </w:pPr>
            <w:r w:rsidRPr="00F57C84">
              <w:t>0.71</w:t>
            </w:r>
          </w:p>
        </w:tc>
        <w:tc>
          <w:tcPr>
            <w:tcW w:w="1899" w:type="dxa"/>
            <w:tcBorders>
              <w:top w:val="single" w:sz="6" w:space="0" w:color="000000"/>
              <w:left w:val="single" w:sz="6" w:space="0" w:color="000000"/>
              <w:bottom w:val="single" w:sz="6" w:space="0" w:color="000000"/>
              <w:right w:val="single" w:sz="6" w:space="0" w:color="000000"/>
            </w:tcBorders>
          </w:tcPr>
          <w:p w14:paraId="2EB644CD" w14:textId="7485063F" w:rsidR="00D646B1" w:rsidRDefault="00D646B1" w:rsidP="00D646B1">
            <w:pPr>
              <w:jc w:val="center"/>
              <w:rPr>
                <w:rFonts w:ascii="Play" w:eastAsia="Play" w:hAnsi="Play" w:cs="Play"/>
              </w:rPr>
            </w:pPr>
            <w:r w:rsidRPr="00F57C84">
              <w:t>46.94</w:t>
            </w:r>
          </w:p>
        </w:tc>
        <w:tc>
          <w:tcPr>
            <w:tcW w:w="1899" w:type="dxa"/>
            <w:tcBorders>
              <w:top w:val="single" w:sz="6" w:space="0" w:color="000000"/>
              <w:left w:val="single" w:sz="6" w:space="0" w:color="000000"/>
              <w:bottom w:val="single" w:sz="6" w:space="0" w:color="000000"/>
              <w:right w:val="single" w:sz="6" w:space="0" w:color="000000"/>
            </w:tcBorders>
          </w:tcPr>
          <w:p w14:paraId="217A2785" w14:textId="6EB856E5" w:rsidR="00D646B1" w:rsidRDefault="00D646B1" w:rsidP="00D646B1">
            <w:pPr>
              <w:jc w:val="center"/>
              <w:rPr>
                <w:rFonts w:ascii="Play" w:eastAsia="Play" w:hAnsi="Play" w:cs="Play"/>
              </w:rPr>
            </w:pPr>
            <w:r w:rsidRPr="00F57C84">
              <w:t>3.93</w:t>
            </w:r>
          </w:p>
        </w:tc>
        <w:tc>
          <w:tcPr>
            <w:tcW w:w="1993" w:type="dxa"/>
            <w:tcBorders>
              <w:top w:val="single" w:sz="6" w:space="0" w:color="000000"/>
              <w:left w:val="single" w:sz="6" w:space="0" w:color="000000"/>
              <w:bottom w:val="single" w:sz="6" w:space="0" w:color="000000"/>
              <w:right w:val="single" w:sz="6" w:space="0" w:color="000000"/>
            </w:tcBorders>
          </w:tcPr>
          <w:p w14:paraId="664AD1E3" w14:textId="317D8829" w:rsidR="00D646B1" w:rsidRDefault="00D646B1" w:rsidP="00D646B1">
            <w:pPr>
              <w:jc w:val="center"/>
              <w:rPr>
                <w:rFonts w:ascii="Play" w:eastAsia="Play" w:hAnsi="Play" w:cs="Play"/>
              </w:rPr>
            </w:pPr>
            <w:r w:rsidRPr="00F57C84">
              <w:t>46.67</w:t>
            </w:r>
          </w:p>
        </w:tc>
        <w:tc>
          <w:tcPr>
            <w:tcW w:w="2167" w:type="dxa"/>
            <w:tcBorders>
              <w:top w:val="single" w:sz="6" w:space="0" w:color="000000"/>
              <w:left w:val="single" w:sz="6" w:space="0" w:color="000000"/>
              <w:bottom w:val="single" w:sz="6" w:space="0" w:color="000000"/>
              <w:right w:val="single" w:sz="6" w:space="0" w:color="000000"/>
            </w:tcBorders>
          </w:tcPr>
          <w:p w14:paraId="5F62D09F" w14:textId="43173357" w:rsidR="00D646B1" w:rsidRDefault="00D646B1" w:rsidP="00D646B1">
            <w:pPr>
              <w:jc w:val="center"/>
              <w:rPr>
                <w:rFonts w:ascii="Play" w:eastAsia="Play" w:hAnsi="Play" w:cs="Play"/>
              </w:rPr>
            </w:pPr>
            <w:r w:rsidRPr="00F57C84">
              <w:t>99.42</w:t>
            </w:r>
          </w:p>
        </w:tc>
      </w:tr>
      <w:tr w:rsidR="00D646B1" w14:paraId="2372F24A" w14:textId="77777777">
        <w:tc>
          <w:tcPr>
            <w:tcW w:w="1386" w:type="dxa"/>
            <w:tcBorders>
              <w:top w:val="single" w:sz="6" w:space="0" w:color="000000"/>
              <w:left w:val="single" w:sz="6" w:space="0" w:color="000000"/>
              <w:bottom w:val="single" w:sz="6" w:space="0" w:color="000000"/>
              <w:right w:val="single" w:sz="6" w:space="0" w:color="000000"/>
            </w:tcBorders>
          </w:tcPr>
          <w:p w14:paraId="7538215A" w14:textId="26B941B7" w:rsidR="00D646B1" w:rsidRDefault="00D646B1" w:rsidP="00D646B1">
            <w:pPr>
              <w:jc w:val="center"/>
              <w:rPr>
                <w:rFonts w:ascii="Play" w:eastAsia="Play" w:hAnsi="Play" w:cs="Play"/>
              </w:rPr>
            </w:pPr>
            <w:r w:rsidRPr="00F57C84">
              <w:t>0.72</w:t>
            </w:r>
          </w:p>
        </w:tc>
        <w:tc>
          <w:tcPr>
            <w:tcW w:w="1899" w:type="dxa"/>
            <w:tcBorders>
              <w:top w:val="single" w:sz="6" w:space="0" w:color="000000"/>
              <w:left w:val="single" w:sz="6" w:space="0" w:color="000000"/>
              <w:bottom w:val="single" w:sz="6" w:space="0" w:color="000000"/>
              <w:right w:val="single" w:sz="6" w:space="0" w:color="000000"/>
            </w:tcBorders>
          </w:tcPr>
          <w:p w14:paraId="05646286" w14:textId="1DCC1B42" w:rsidR="00D646B1" w:rsidRDefault="00D646B1" w:rsidP="00D646B1">
            <w:pPr>
              <w:jc w:val="center"/>
              <w:rPr>
                <w:rFonts w:ascii="Play" w:eastAsia="Play" w:hAnsi="Play" w:cs="Play"/>
              </w:rPr>
            </w:pPr>
            <w:r w:rsidRPr="00F57C84">
              <w:t>10.71</w:t>
            </w:r>
          </w:p>
        </w:tc>
        <w:tc>
          <w:tcPr>
            <w:tcW w:w="1899" w:type="dxa"/>
            <w:tcBorders>
              <w:top w:val="single" w:sz="6" w:space="0" w:color="000000"/>
              <w:left w:val="single" w:sz="6" w:space="0" w:color="000000"/>
              <w:bottom w:val="single" w:sz="6" w:space="0" w:color="000000"/>
              <w:right w:val="single" w:sz="6" w:space="0" w:color="000000"/>
            </w:tcBorders>
          </w:tcPr>
          <w:p w14:paraId="772466A6" w14:textId="089C6E6B" w:rsidR="00D646B1" w:rsidRDefault="00D646B1" w:rsidP="00D646B1">
            <w:pPr>
              <w:jc w:val="center"/>
              <w:rPr>
                <w:rFonts w:ascii="Play" w:eastAsia="Play" w:hAnsi="Play" w:cs="Play"/>
              </w:rPr>
            </w:pPr>
            <w:r w:rsidRPr="00F57C84">
              <w:t>0.33</w:t>
            </w:r>
          </w:p>
        </w:tc>
        <w:tc>
          <w:tcPr>
            <w:tcW w:w="1993" w:type="dxa"/>
            <w:tcBorders>
              <w:top w:val="single" w:sz="6" w:space="0" w:color="000000"/>
              <w:left w:val="single" w:sz="6" w:space="0" w:color="000000"/>
              <w:bottom w:val="single" w:sz="6" w:space="0" w:color="000000"/>
              <w:right w:val="single" w:sz="6" w:space="0" w:color="000000"/>
            </w:tcBorders>
          </w:tcPr>
          <w:p w14:paraId="4A82E271" w14:textId="09C2DA49" w:rsidR="00D646B1" w:rsidRDefault="00D646B1" w:rsidP="00D646B1">
            <w:pPr>
              <w:jc w:val="center"/>
              <w:rPr>
                <w:rFonts w:ascii="Play" w:eastAsia="Play" w:hAnsi="Play" w:cs="Play"/>
              </w:rPr>
            </w:pPr>
            <w:r w:rsidRPr="00F57C84">
              <w:t>10.47</w:t>
            </w:r>
          </w:p>
        </w:tc>
        <w:tc>
          <w:tcPr>
            <w:tcW w:w="2167" w:type="dxa"/>
            <w:tcBorders>
              <w:top w:val="single" w:sz="6" w:space="0" w:color="000000"/>
              <w:left w:val="single" w:sz="6" w:space="0" w:color="000000"/>
              <w:bottom w:val="single" w:sz="6" w:space="0" w:color="000000"/>
              <w:right w:val="single" w:sz="6" w:space="0" w:color="000000"/>
            </w:tcBorders>
          </w:tcPr>
          <w:p w14:paraId="1A35F7DF" w14:textId="1F26F21B" w:rsidR="00D646B1" w:rsidRDefault="00D646B1" w:rsidP="00D646B1">
            <w:pPr>
              <w:jc w:val="center"/>
              <w:rPr>
                <w:rFonts w:ascii="Play" w:eastAsia="Play" w:hAnsi="Play" w:cs="Play"/>
              </w:rPr>
            </w:pPr>
            <w:r w:rsidRPr="00F57C84">
              <w:t>97.76</w:t>
            </w:r>
          </w:p>
        </w:tc>
      </w:tr>
      <w:tr w:rsidR="00D646B1" w14:paraId="308548A7" w14:textId="77777777">
        <w:tc>
          <w:tcPr>
            <w:tcW w:w="1386" w:type="dxa"/>
            <w:tcBorders>
              <w:top w:val="single" w:sz="6" w:space="0" w:color="000000"/>
              <w:left w:val="single" w:sz="6" w:space="0" w:color="000000"/>
              <w:bottom w:val="single" w:sz="6" w:space="0" w:color="000000"/>
              <w:right w:val="single" w:sz="6" w:space="0" w:color="000000"/>
            </w:tcBorders>
          </w:tcPr>
          <w:p w14:paraId="0BC5D747" w14:textId="327453CB" w:rsidR="00D646B1" w:rsidRDefault="00D646B1" w:rsidP="00D646B1">
            <w:pPr>
              <w:jc w:val="center"/>
              <w:rPr>
                <w:rFonts w:ascii="Play" w:eastAsia="Play" w:hAnsi="Play" w:cs="Play"/>
              </w:rPr>
            </w:pPr>
            <w:r w:rsidRPr="00F57C84">
              <w:t>0.73</w:t>
            </w:r>
          </w:p>
        </w:tc>
        <w:tc>
          <w:tcPr>
            <w:tcW w:w="1899" w:type="dxa"/>
            <w:tcBorders>
              <w:top w:val="single" w:sz="6" w:space="0" w:color="000000"/>
              <w:left w:val="single" w:sz="6" w:space="0" w:color="000000"/>
              <w:bottom w:val="single" w:sz="6" w:space="0" w:color="000000"/>
              <w:right w:val="single" w:sz="6" w:space="0" w:color="000000"/>
            </w:tcBorders>
          </w:tcPr>
          <w:p w14:paraId="3FE082D4" w14:textId="50FD9071" w:rsidR="00D646B1" w:rsidRDefault="00D646B1" w:rsidP="00D646B1">
            <w:pPr>
              <w:jc w:val="center"/>
              <w:rPr>
                <w:rFonts w:ascii="Play" w:eastAsia="Play" w:hAnsi="Play" w:cs="Play"/>
              </w:rPr>
            </w:pPr>
            <w:r w:rsidRPr="00F57C84">
              <w:t>2.59</w:t>
            </w:r>
          </w:p>
        </w:tc>
        <w:tc>
          <w:tcPr>
            <w:tcW w:w="1899" w:type="dxa"/>
            <w:tcBorders>
              <w:top w:val="single" w:sz="6" w:space="0" w:color="000000"/>
              <w:left w:val="single" w:sz="6" w:space="0" w:color="000000"/>
              <w:bottom w:val="single" w:sz="6" w:space="0" w:color="000000"/>
              <w:right w:val="single" w:sz="6" w:space="0" w:color="000000"/>
            </w:tcBorders>
          </w:tcPr>
          <w:p w14:paraId="2307D629" w14:textId="1A4D7D8E" w:rsidR="00D646B1" w:rsidRDefault="00D646B1" w:rsidP="00D646B1">
            <w:pPr>
              <w:jc w:val="center"/>
              <w:rPr>
                <w:rFonts w:ascii="Play" w:eastAsia="Play" w:hAnsi="Play" w:cs="Play"/>
              </w:rPr>
            </w:pPr>
            <w:r w:rsidRPr="00F57C84">
              <w:t>0.03</w:t>
            </w:r>
          </w:p>
        </w:tc>
        <w:tc>
          <w:tcPr>
            <w:tcW w:w="1993" w:type="dxa"/>
            <w:tcBorders>
              <w:top w:val="single" w:sz="6" w:space="0" w:color="000000"/>
              <w:left w:val="single" w:sz="6" w:space="0" w:color="000000"/>
              <w:bottom w:val="single" w:sz="6" w:space="0" w:color="000000"/>
              <w:right w:val="single" w:sz="6" w:space="0" w:color="000000"/>
            </w:tcBorders>
          </w:tcPr>
          <w:p w14:paraId="7EAF9FE2" w14:textId="23B4E9DD" w:rsidR="00D646B1" w:rsidRDefault="00D646B1" w:rsidP="00D646B1">
            <w:pPr>
              <w:jc w:val="center"/>
              <w:rPr>
                <w:rFonts w:ascii="Play" w:eastAsia="Play" w:hAnsi="Play" w:cs="Play"/>
              </w:rPr>
            </w:pPr>
            <w:r w:rsidRPr="00F57C84">
              <w:t>2.38</w:t>
            </w:r>
          </w:p>
        </w:tc>
        <w:tc>
          <w:tcPr>
            <w:tcW w:w="2167" w:type="dxa"/>
            <w:tcBorders>
              <w:top w:val="single" w:sz="6" w:space="0" w:color="000000"/>
              <w:left w:val="single" w:sz="6" w:space="0" w:color="000000"/>
              <w:bottom w:val="single" w:sz="6" w:space="0" w:color="000000"/>
              <w:right w:val="single" w:sz="6" w:space="0" w:color="000000"/>
            </w:tcBorders>
          </w:tcPr>
          <w:p w14:paraId="32959BC3" w14:textId="383B24A2" w:rsidR="00D646B1" w:rsidRDefault="00D646B1" w:rsidP="00D646B1">
            <w:pPr>
              <w:jc w:val="center"/>
              <w:rPr>
                <w:rFonts w:ascii="Play" w:eastAsia="Play" w:hAnsi="Play" w:cs="Play"/>
              </w:rPr>
            </w:pPr>
            <w:r w:rsidRPr="00F57C84">
              <w:t>91.89</w:t>
            </w:r>
          </w:p>
        </w:tc>
      </w:tr>
      <w:tr w:rsidR="00D646B1" w14:paraId="1A8A3EA7" w14:textId="77777777">
        <w:tc>
          <w:tcPr>
            <w:tcW w:w="1386" w:type="dxa"/>
            <w:tcBorders>
              <w:top w:val="single" w:sz="6" w:space="0" w:color="000000"/>
              <w:left w:val="single" w:sz="6" w:space="0" w:color="000000"/>
              <w:bottom w:val="single" w:sz="6" w:space="0" w:color="000000"/>
              <w:right w:val="single" w:sz="6" w:space="0" w:color="000000"/>
            </w:tcBorders>
          </w:tcPr>
          <w:p w14:paraId="04410D15" w14:textId="250E4B7E" w:rsidR="00D646B1" w:rsidRDefault="00D646B1" w:rsidP="00D646B1">
            <w:pPr>
              <w:jc w:val="center"/>
              <w:rPr>
                <w:rFonts w:ascii="Play" w:eastAsia="Play" w:hAnsi="Play" w:cs="Play"/>
              </w:rPr>
            </w:pPr>
            <w:r w:rsidRPr="00F57C84">
              <w:t>0.74</w:t>
            </w:r>
          </w:p>
        </w:tc>
        <w:tc>
          <w:tcPr>
            <w:tcW w:w="1899" w:type="dxa"/>
            <w:tcBorders>
              <w:top w:val="single" w:sz="6" w:space="0" w:color="000000"/>
              <w:left w:val="single" w:sz="6" w:space="0" w:color="000000"/>
              <w:bottom w:val="single" w:sz="6" w:space="0" w:color="000000"/>
              <w:right w:val="single" w:sz="6" w:space="0" w:color="000000"/>
            </w:tcBorders>
          </w:tcPr>
          <w:p w14:paraId="4E9F8D02" w14:textId="4552F2BA" w:rsidR="00D646B1" w:rsidRDefault="00D646B1" w:rsidP="00D646B1">
            <w:pPr>
              <w:jc w:val="center"/>
              <w:rPr>
                <w:rFonts w:ascii="Play" w:eastAsia="Play" w:hAnsi="Play" w:cs="Play"/>
              </w:rPr>
            </w:pPr>
            <w:r w:rsidRPr="00F57C84">
              <w:t>1.04</w:t>
            </w:r>
          </w:p>
        </w:tc>
        <w:tc>
          <w:tcPr>
            <w:tcW w:w="1899" w:type="dxa"/>
            <w:tcBorders>
              <w:top w:val="single" w:sz="6" w:space="0" w:color="000000"/>
              <w:left w:val="single" w:sz="6" w:space="0" w:color="000000"/>
              <w:bottom w:val="single" w:sz="6" w:space="0" w:color="000000"/>
              <w:right w:val="single" w:sz="6" w:space="0" w:color="000000"/>
            </w:tcBorders>
          </w:tcPr>
          <w:p w14:paraId="59F17046" w14:textId="3B225C18" w:rsidR="00D646B1" w:rsidRDefault="00D646B1" w:rsidP="00D646B1">
            <w:pPr>
              <w:jc w:val="center"/>
              <w:rPr>
                <w:rFonts w:ascii="Play" w:eastAsia="Play" w:hAnsi="Play" w:cs="Play"/>
              </w:rPr>
            </w:pPr>
            <w:r w:rsidRPr="00F57C84">
              <w:t>0</w:t>
            </w:r>
          </w:p>
        </w:tc>
        <w:tc>
          <w:tcPr>
            <w:tcW w:w="1993" w:type="dxa"/>
            <w:tcBorders>
              <w:top w:val="single" w:sz="6" w:space="0" w:color="000000"/>
              <w:left w:val="single" w:sz="6" w:space="0" w:color="000000"/>
              <w:bottom w:val="single" w:sz="6" w:space="0" w:color="000000"/>
              <w:right w:val="single" w:sz="6" w:space="0" w:color="000000"/>
            </w:tcBorders>
          </w:tcPr>
          <w:p w14:paraId="1E6D1283" w14:textId="52CB1027" w:rsidR="00D646B1" w:rsidRDefault="00D646B1" w:rsidP="00D646B1">
            <w:pPr>
              <w:jc w:val="center"/>
              <w:rPr>
                <w:rFonts w:ascii="Play" w:eastAsia="Play" w:hAnsi="Play" w:cs="Play"/>
              </w:rPr>
            </w:pPr>
            <w:r w:rsidRPr="00F57C84">
              <w:t>0.86</w:t>
            </w:r>
          </w:p>
        </w:tc>
        <w:tc>
          <w:tcPr>
            <w:tcW w:w="2167" w:type="dxa"/>
            <w:tcBorders>
              <w:top w:val="single" w:sz="6" w:space="0" w:color="000000"/>
              <w:left w:val="single" w:sz="6" w:space="0" w:color="000000"/>
              <w:bottom w:val="single" w:sz="6" w:space="0" w:color="000000"/>
              <w:right w:val="single" w:sz="6" w:space="0" w:color="000000"/>
            </w:tcBorders>
          </w:tcPr>
          <w:p w14:paraId="596BE057" w14:textId="14694E0E" w:rsidR="00D646B1" w:rsidRDefault="00D646B1" w:rsidP="00D646B1">
            <w:pPr>
              <w:jc w:val="center"/>
              <w:rPr>
                <w:rFonts w:ascii="Play" w:eastAsia="Play" w:hAnsi="Play" w:cs="Play"/>
              </w:rPr>
            </w:pPr>
            <w:r w:rsidRPr="00F57C84">
              <w:t>82.69</w:t>
            </w:r>
          </w:p>
        </w:tc>
      </w:tr>
      <w:tr w:rsidR="00D646B1" w14:paraId="372D145D" w14:textId="77777777">
        <w:tc>
          <w:tcPr>
            <w:tcW w:w="1386" w:type="dxa"/>
            <w:tcBorders>
              <w:top w:val="single" w:sz="6" w:space="0" w:color="000000"/>
              <w:left w:val="single" w:sz="6" w:space="0" w:color="000000"/>
              <w:bottom w:val="single" w:sz="6" w:space="0" w:color="000000"/>
              <w:right w:val="single" w:sz="6" w:space="0" w:color="000000"/>
            </w:tcBorders>
          </w:tcPr>
          <w:p w14:paraId="4492465D" w14:textId="1B5365DD" w:rsidR="00D646B1" w:rsidRDefault="00D646B1" w:rsidP="00D646B1">
            <w:pPr>
              <w:jc w:val="center"/>
              <w:rPr>
                <w:rFonts w:ascii="Play" w:eastAsia="Play" w:hAnsi="Play" w:cs="Play"/>
              </w:rPr>
            </w:pPr>
            <w:r w:rsidRPr="00F57C84">
              <w:t>0.75</w:t>
            </w:r>
          </w:p>
        </w:tc>
        <w:tc>
          <w:tcPr>
            <w:tcW w:w="1899" w:type="dxa"/>
            <w:tcBorders>
              <w:top w:val="single" w:sz="6" w:space="0" w:color="000000"/>
              <w:left w:val="single" w:sz="6" w:space="0" w:color="000000"/>
              <w:bottom w:val="single" w:sz="6" w:space="0" w:color="000000"/>
              <w:right w:val="single" w:sz="6" w:space="0" w:color="000000"/>
            </w:tcBorders>
          </w:tcPr>
          <w:p w14:paraId="3AA23261" w14:textId="2A89B160" w:rsidR="00D646B1" w:rsidRDefault="00D646B1" w:rsidP="00D646B1">
            <w:pPr>
              <w:jc w:val="center"/>
              <w:rPr>
                <w:rFonts w:ascii="Play" w:eastAsia="Play" w:hAnsi="Play" w:cs="Play"/>
              </w:rPr>
            </w:pPr>
            <w:r w:rsidRPr="00F57C84">
              <w:t>0.65</w:t>
            </w:r>
          </w:p>
        </w:tc>
        <w:tc>
          <w:tcPr>
            <w:tcW w:w="1899" w:type="dxa"/>
            <w:tcBorders>
              <w:top w:val="single" w:sz="6" w:space="0" w:color="000000"/>
              <w:left w:val="single" w:sz="6" w:space="0" w:color="000000"/>
              <w:bottom w:val="single" w:sz="6" w:space="0" w:color="000000"/>
              <w:right w:val="single" w:sz="6" w:space="0" w:color="000000"/>
            </w:tcBorders>
          </w:tcPr>
          <w:p w14:paraId="7B738FD9" w14:textId="16827F6C" w:rsidR="00D646B1" w:rsidRDefault="00D646B1" w:rsidP="00D646B1">
            <w:pPr>
              <w:jc w:val="center"/>
              <w:rPr>
                <w:rFonts w:ascii="Play" w:eastAsia="Play" w:hAnsi="Play" w:cs="Play"/>
              </w:rPr>
            </w:pPr>
            <w:r w:rsidRPr="00F57C84">
              <w:t>0</w:t>
            </w:r>
          </w:p>
        </w:tc>
        <w:tc>
          <w:tcPr>
            <w:tcW w:w="1993" w:type="dxa"/>
            <w:tcBorders>
              <w:top w:val="single" w:sz="6" w:space="0" w:color="000000"/>
              <w:left w:val="single" w:sz="6" w:space="0" w:color="000000"/>
              <w:bottom w:val="single" w:sz="6" w:space="0" w:color="000000"/>
              <w:right w:val="single" w:sz="6" w:space="0" w:color="000000"/>
            </w:tcBorders>
          </w:tcPr>
          <w:p w14:paraId="1B626528" w14:textId="03AFE5B0" w:rsidR="00D646B1" w:rsidRDefault="00D646B1" w:rsidP="00D646B1">
            <w:pPr>
              <w:jc w:val="center"/>
              <w:rPr>
                <w:rFonts w:ascii="Play" w:eastAsia="Play" w:hAnsi="Play" w:cs="Play"/>
              </w:rPr>
            </w:pPr>
            <w:r w:rsidRPr="00F57C84">
              <w:t>0.53</w:t>
            </w:r>
          </w:p>
        </w:tc>
        <w:tc>
          <w:tcPr>
            <w:tcW w:w="2167" w:type="dxa"/>
            <w:tcBorders>
              <w:top w:val="single" w:sz="6" w:space="0" w:color="000000"/>
              <w:left w:val="single" w:sz="6" w:space="0" w:color="000000"/>
              <w:bottom w:val="single" w:sz="6" w:space="0" w:color="000000"/>
              <w:right w:val="single" w:sz="6" w:space="0" w:color="000000"/>
            </w:tcBorders>
          </w:tcPr>
          <w:p w14:paraId="28CF639C" w14:textId="63A80D05" w:rsidR="00D646B1" w:rsidRDefault="00D646B1" w:rsidP="00D646B1">
            <w:pPr>
              <w:jc w:val="center"/>
              <w:rPr>
                <w:rFonts w:ascii="Play" w:eastAsia="Play" w:hAnsi="Play" w:cs="Play"/>
              </w:rPr>
            </w:pPr>
            <w:r w:rsidRPr="00F57C84">
              <w:t>81.54</w:t>
            </w:r>
          </w:p>
        </w:tc>
      </w:tr>
      <w:tr w:rsidR="00D646B1" w14:paraId="4C44BBD9" w14:textId="77777777">
        <w:tc>
          <w:tcPr>
            <w:tcW w:w="1386" w:type="dxa"/>
            <w:tcBorders>
              <w:top w:val="single" w:sz="6" w:space="0" w:color="000000"/>
              <w:left w:val="single" w:sz="6" w:space="0" w:color="000000"/>
              <w:bottom w:val="single" w:sz="6" w:space="0" w:color="000000"/>
              <w:right w:val="single" w:sz="6" w:space="0" w:color="000000"/>
            </w:tcBorders>
          </w:tcPr>
          <w:p w14:paraId="57731291" w14:textId="79D02C40" w:rsidR="00D646B1" w:rsidRDefault="00D646B1" w:rsidP="00D646B1">
            <w:pPr>
              <w:jc w:val="center"/>
              <w:rPr>
                <w:rFonts w:ascii="Play" w:eastAsia="Play" w:hAnsi="Play" w:cs="Play"/>
              </w:rPr>
            </w:pPr>
            <w:r w:rsidRPr="00F57C84">
              <w:t>0.76</w:t>
            </w:r>
          </w:p>
        </w:tc>
        <w:tc>
          <w:tcPr>
            <w:tcW w:w="1899" w:type="dxa"/>
            <w:tcBorders>
              <w:top w:val="single" w:sz="6" w:space="0" w:color="000000"/>
              <w:left w:val="single" w:sz="6" w:space="0" w:color="000000"/>
              <w:bottom w:val="single" w:sz="6" w:space="0" w:color="000000"/>
              <w:right w:val="single" w:sz="6" w:space="0" w:color="000000"/>
            </w:tcBorders>
          </w:tcPr>
          <w:p w14:paraId="749C3C42" w14:textId="71F70590" w:rsidR="00D646B1" w:rsidRDefault="00D646B1" w:rsidP="00D646B1">
            <w:pPr>
              <w:jc w:val="center"/>
              <w:rPr>
                <w:rFonts w:ascii="Play" w:eastAsia="Play" w:hAnsi="Play" w:cs="Play"/>
              </w:rPr>
            </w:pPr>
            <w:r w:rsidRPr="00F57C84">
              <w:t>0.51</w:t>
            </w:r>
          </w:p>
        </w:tc>
        <w:tc>
          <w:tcPr>
            <w:tcW w:w="1899" w:type="dxa"/>
            <w:tcBorders>
              <w:top w:val="single" w:sz="6" w:space="0" w:color="000000"/>
              <w:left w:val="single" w:sz="6" w:space="0" w:color="000000"/>
              <w:bottom w:val="single" w:sz="6" w:space="0" w:color="000000"/>
              <w:right w:val="single" w:sz="6" w:space="0" w:color="000000"/>
            </w:tcBorders>
          </w:tcPr>
          <w:p w14:paraId="28C0AC49" w14:textId="2B1BC3D8" w:rsidR="00D646B1" w:rsidRDefault="00D646B1" w:rsidP="00D646B1">
            <w:pPr>
              <w:jc w:val="center"/>
              <w:rPr>
                <w:rFonts w:ascii="Play" w:eastAsia="Play" w:hAnsi="Play" w:cs="Play"/>
              </w:rPr>
            </w:pPr>
            <w:r w:rsidRPr="00F57C84">
              <w:t>0</w:t>
            </w:r>
          </w:p>
        </w:tc>
        <w:tc>
          <w:tcPr>
            <w:tcW w:w="1993" w:type="dxa"/>
            <w:tcBorders>
              <w:top w:val="single" w:sz="6" w:space="0" w:color="000000"/>
              <w:left w:val="single" w:sz="6" w:space="0" w:color="000000"/>
              <w:bottom w:val="single" w:sz="6" w:space="0" w:color="000000"/>
              <w:right w:val="single" w:sz="6" w:space="0" w:color="000000"/>
            </w:tcBorders>
          </w:tcPr>
          <w:p w14:paraId="029E2D30" w14:textId="053A3FA5" w:rsidR="00D646B1" w:rsidRDefault="00D646B1" w:rsidP="00D646B1">
            <w:pPr>
              <w:jc w:val="center"/>
              <w:rPr>
                <w:rFonts w:ascii="Play" w:eastAsia="Play" w:hAnsi="Play" w:cs="Play"/>
              </w:rPr>
            </w:pPr>
            <w:r w:rsidRPr="00F57C84">
              <w:t>0.4</w:t>
            </w:r>
          </w:p>
        </w:tc>
        <w:tc>
          <w:tcPr>
            <w:tcW w:w="2167" w:type="dxa"/>
            <w:tcBorders>
              <w:top w:val="single" w:sz="6" w:space="0" w:color="000000"/>
              <w:left w:val="single" w:sz="6" w:space="0" w:color="000000"/>
              <w:bottom w:val="single" w:sz="6" w:space="0" w:color="000000"/>
              <w:right w:val="single" w:sz="6" w:space="0" w:color="000000"/>
            </w:tcBorders>
          </w:tcPr>
          <w:p w14:paraId="0938348D" w14:textId="1F72E974" w:rsidR="00D646B1" w:rsidRDefault="00D646B1" w:rsidP="00D646B1">
            <w:pPr>
              <w:jc w:val="center"/>
              <w:rPr>
                <w:rFonts w:ascii="Play" w:eastAsia="Play" w:hAnsi="Play" w:cs="Play"/>
              </w:rPr>
            </w:pPr>
            <w:r w:rsidRPr="00F57C84">
              <w:t>78.43</w:t>
            </w:r>
          </w:p>
        </w:tc>
      </w:tr>
      <w:tr w:rsidR="00D646B1" w14:paraId="461A2B5D" w14:textId="77777777">
        <w:tc>
          <w:tcPr>
            <w:tcW w:w="1386" w:type="dxa"/>
            <w:tcBorders>
              <w:top w:val="single" w:sz="6" w:space="0" w:color="000000"/>
              <w:left w:val="single" w:sz="6" w:space="0" w:color="000000"/>
              <w:bottom w:val="single" w:sz="6" w:space="0" w:color="000000"/>
              <w:right w:val="single" w:sz="6" w:space="0" w:color="000000"/>
            </w:tcBorders>
          </w:tcPr>
          <w:p w14:paraId="03E74E44" w14:textId="4E3C853A" w:rsidR="00D646B1" w:rsidRDefault="00D646B1" w:rsidP="00D646B1">
            <w:pPr>
              <w:jc w:val="center"/>
              <w:rPr>
                <w:rFonts w:ascii="Play" w:eastAsia="Play" w:hAnsi="Play" w:cs="Play"/>
              </w:rPr>
            </w:pPr>
            <w:r w:rsidRPr="00F57C84">
              <w:t>0.77</w:t>
            </w:r>
          </w:p>
        </w:tc>
        <w:tc>
          <w:tcPr>
            <w:tcW w:w="1899" w:type="dxa"/>
            <w:tcBorders>
              <w:top w:val="single" w:sz="6" w:space="0" w:color="000000"/>
              <w:left w:val="single" w:sz="6" w:space="0" w:color="000000"/>
              <w:bottom w:val="single" w:sz="6" w:space="0" w:color="000000"/>
              <w:right w:val="single" w:sz="6" w:space="0" w:color="000000"/>
            </w:tcBorders>
          </w:tcPr>
          <w:p w14:paraId="5BB2341C" w14:textId="7E7E856C" w:rsidR="00D646B1" w:rsidRDefault="00D646B1" w:rsidP="00D646B1">
            <w:pPr>
              <w:jc w:val="center"/>
              <w:rPr>
                <w:rFonts w:ascii="Play" w:eastAsia="Play" w:hAnsi="Play" w:cs="Play"/>
              </w:rPr>
            </w:pPr>
            <w:r w:rsidRPr="00F57C84">
              <w:t>0.46</w:t>
            </w:r>
          </w:p>
        </w:tc>
        <w:tc>
          <w:tcPr>
            <w:tcW w:w="1899" w:type="dxa"/>
            <w:tcBorders>
              <w:top w:val="single" w:sz="6" w:space="0" w:color="000000"/>
              <w:left w:val="single" w:sz="6" w:space="0" w:color="000000"/>
              <w:bottom w:val="single" w:sz="6" w:space="0" w:color="000000"/>
              <w:right w:val="single" w:sz="6" w:space="0" w:color="000000"/>
            </w:tcBorders>
          </w:tcPr>
          <w:p w14:paraId="5E85F2DB" w14:textId="3B6D71A4" w:rsidR="00D646B1" w:rsidRDefault="00D646B1" w:rsidP="00D646B1">
            <w:pPr>
              <w:jc w:val="center"/>
              <w:rPr>
                <w:rFonts w:ascii="Play" w:eastAsia="Play" w:hAnsi="Play" w:cs="Play"/>
              </w:rPr>
            </w:pPr>
            <w:r w:rsidRPr="00F57C84">
              <w:t>0</w:t>
            </w:r>
          </w:p>
        </w:tc>
        <w:tc>
          <w:tcPr>
            <w:tcW w:w="1993" w:type="dxa"/>
            <w:tcBorders>
              <w:top w:val="single" w:sz="6" w:space="0" w:color="000000"/>
              <w:left w:val="single" w:sz="6" w:space="0" w:color="000000"/>
              <w:bottom w:val="single" w:sz="6" w:space="0" w:color="000000"/>
              <w:right w:val="single" w:sz="6" w:space="0" w:color="000000"/>
            </w:tcBorders>
          </w:tcPr>
          <w:p w14:paraId="53C2AFD9" w14:textId="4869A19F" w:rsidR="00D646B1" w:rsidRDefault="00D646B1" w:rsidP="00D646B1">
            <w:pPr>
              <w:jc w:val="center"/>
              <w:rPr>
                <w:rFonts w:ascii="Play" w:eastAsia="Play" w:hAnsi="Play" w:cs="Play"/>
              </w:rPr>
            </w:pPr>
            <w:r w:rsidRPr="00F57C84">
              <w:t>0.38</w:t>
            </w:r>
          </w:p>
        </w:tc>
        <w:tc>
          <w:tcPr>
            <w:tcW w:w="2167" w:type="dxa"/>
            <w:tcBorders>
              <w:top w:val="single" w:sz="6" w:space="0" w:color="000000"/>
              <w:left w:val="single" w:sz="6" w:space="0" w:color="000000"/>
              <w:bottom w:val="single" w:sz="6" w:space="0" w:color="000000"/>
              <w:right w:val="single" w:sz="6" w:space="0" w:color="000000"/>
            </w:tcBorders>
          </w:tcPr>
          <w:p w14:paraId="6EE0EE12" w14:textId="61D10682" w:rsidR="00D646B1" w:rsidRDefault="00D646B1" w:rsidP="00D646B1">
            <w:pPr>
              <w:jc w:val="center"/>
              <w:rPr>
                <w:rFonts w:ascii="Play" w:eastAsia="Play" w:hAnsi="Play" w:cs="Play"/>
              </w:rPr>
            </w:pPr>
            <w:r w:rsidRPr="00F57C84">
              <w:t>82.61</w:t>
            </w:r>
          </w:p>
        </w:tc>
      </w:tr>
      <w:tr w:rsidR="00D646B1" w14:paraId="43728E2B" w14:textId="77777777">
        <w:tc>
          <w:tcPr>
            <w:tcW w:w="1386" w:type="dxa"/>
            <w:tcBorders>
              <w:top w:val="single" w:sz="6" w:space="0" w:color="000000"/>
              <w:left w:val="single" w:sz="6" w:space="0" w:color="000000"/>
              <w:bottom w:val="single" w:sz="6" w:space="0" w:color="000000"/>
              <w:right w:val="single" w:sz="6" w:space="0" w:color="000000"/>
            </w:tcBorders>
          </w:tcPr>
          <w:p w14:paraId="74FE6E51" w14:textId="5DC69484" w:rsidR="00D646B1" w:rsidRDefault="00D646B1" w:rsidP="00D646B1">
            <w:pPr>
              <w:jc w:val="center"/>
              <w:rPr>
                <w:rFonts w:ascii="Play" w:eastAsia="Play" w:hAnsi="Play" w:cs="Play"/>
              </w:rPr>
            </w:pPr>
            <w:r w:rsidRPr="00F57C84">
              <w:t>0.78</w:t>
            </w:r>
          </w:p>
        </w:tc>
        <w:tc>
          <w:tcPr>
            <w:tcW w:w="1899" w:type="dxa"/>
            <w:tcBorders>
              <w:top w:val="single" w:sz="6" w:space="0" w:color="000000"/>
              <w:left w:val="single" w:sz="6" w:space="0" w:color="000000"/>
              <w:bottom w:val="single" w:sz="6" w:space="0" w:color="000000"/>
              <w:right w:val="single" w:sz="6" w:space="0" w:color="000000"/>
            </w:tcBorders>
          </w:tcPr>
          <w:p w14:paraId="5FDB09F7" w14:textId="76DD659F" w:rsidR="00D646B1" w:rsidRDefault="00D646B1" w:rsidP="00D646B1">
            <w:pPr>
              <w:jc w:val="center"/>
              <w:rPr>
                <w:rFonts w:ascii="Play" w:eastAsia="Play" w:hAnsi="Play" w:cs="Play"/>
              </w:rPr>
            </w:pPr>
            <w:r w:rsidRPr="00F57C84">
              <w:t>0.44</w:t>
            </w:r>
          </w:p>
        </w:tc>
        <w:tc>
          <w:tcPr>
            <w:tcW w:w="1899" w:type="dxa"/>
            <w:tcBorders>
              <w:top w:val="single" w:sz="6" w:space="0" w:color="000000"/>
              <w:left w:val="single" w:sz="6" w:space="0" w:color="000000"/>
              <w:bottom w:val="single" w:sz="6" w:space="0" w:color="000000"/>
              <w:right w:val="single" w:sz="6" w:space="0" w:color="000000"/>
            </w:tcBorders>
          </w:tcPr>
          <w:p w14:paraId="711A4256" w14:textId="0F781E6E" w:rsidR="00D646B1" w:rsidRDefault="00D646B1" w:rsidP="00D646B1">
            <w:pPr>
              <w:jc w:val="center"/>
              <w:rPr>
                <w:rFonts w:ascii="Play" w:eastAsia="Play" w:hAnsi="Play" w:cs="Play"/>
              </w:rPr>
            </w:pPr>
            <w:r w:rsidRPr="00F57C84">
              <w:t>0</w:t>
            </w:r>
          </w:p>
        </w:tc>
        <w:tc>
          <w:tcPr>
            <w:tcW w:w="1993" w:type="dxa"/>
            <w:tcBorders>
              <w:top w:val="single" w:sz="6" w:space="0" w:color="000000"/>
              <w:left w:val="single" w:sz="6" w:space="0" w:color="000000"/>
              <w:bottom w:val="single" w:sz="6" w:space="0" w:color="000000"/>
              <w:right w:val="single" w:sz="6" w:space="0" w:color="000000"/>
            </w:tcBorders>
          </w:tcPr>
          <w:p w14:paraId="176FD5E1" w14:textId="02717579" w:rsidR="00D646B1" w:rsidRDefault="00D646B1" w:rsidP="00D646B1">
            <w:pPr>
              <w:jc w:val="center"/>
              <w:rPr>
                <w:rFonts w:ascii="Play" w:eastAsia="Play" w:hAnsi="Play" w:cs="Play"/>
              </w:rPr>
            </w:pPr>
            <w:r w:rsidRPr="00F57C84">
              <w:t>0.38</w:t>
            </w:r>
          </w:p>
        </w:tc>
        <w:tc>
          <w:tcPr>
            <w:tcW w:w="2167" w:type="dxa"/>
            <w:tcBorders>
              <w:top w:val="single" w:sz="6" w:space="0" w:color="000000"/>
              <w:left w:val="single" w:sz="6" w:space="0" w:color="000000"/>
              <w:bottom w:val="single" w:sz="6" w:space="0" w:color="000000"/>
              <w:right w:val="single" w:sz="6" w:space="0" w:color="000000"/>
            </w:tcBorders>
          </w:tcPr>
          <w:p w14:paraId="386CDD4C" w14:textId="7F98F232" w:rsidR="00D646B1" w:rsidRDefault="00D646B1" w:rsidP="00D646B1">
            <w:pPr>
              <w:jc w:val="center"/>
              <w:rPr>
                <w:rFonts w:ascii="Play" w:eastAsia="Play" w:hAnsi="Play" w:cs="Play"/>
              </w:rPr>
            </w:pPr>
            <w:r w:rsidRPr="00F57C84">
              <w:t>86.36</w:t>
            </w:r>
          </w:p>
        </w:tc>
      </w:tr>
      <w:tr w:rsidR="00D646B1" w14:paraId="5257E962" w14:textId="77777777">
        <w:tc>
          <w:tcPr>
            <w:tcW w:w="1386" w:type="dxa"/>
            <w:tcBorders>
              <w:top w:val="single" w:sz="6" w:space="0" w:color="000000"/>
              <w:left w:val="single" w:sz="6" w:space="0" w:color="000000"/>
              <w:bottom w:val="single" w:sz="6" w:space="0" w:color="000000"/>
              <w:right w:val="single" w:sz="6" w:space="0" w:color="000000"/>
            </w:tcBorders>
          </w:tcPr>
          <w:p w14:paraId="1CC4CE22" w14:textId="25EF19A7" w:rsidR="00D646B1" w:rsidRDefault="00D646B1" w:rsidP="00D646B1">
            <w:pPr>
              <w:jc w:val="center"/>
              <w:rPr>
                <w:rFonts w:ascii="Play" w:eastAsia="Play" w:hAnsi="Play" w:cs="Play"/>
              </w:rPr>
            </w:pPr>
            <w:r w:rsidRPr="00F57C84">
              <w:t>0.79</w:t>
            </w:r>
          </w:p>
        </w:tc>
        <w:tc>
          <w:tcPr>
            <w:tcW w:w="1899" w:type="dxa"/>
            <w:tcBorders>
              <w:top w:val="single" w:sz="6" w:space="0" w:color="000000"/>
              <w:left w:val="single" w:sz="6" w:space="0" w:color="000000"/>
              <w:bottom w:val="single" w:sz="6" w:space="0" w:color="000000"/>
              <w:right w:val="single" w:sz="6" w:space="0" w:color="000000"/>
            </w:tcBorders>
          </w:tcPr>
          <w:p w14:paraId="45249EE8" w14:textId="0A8F0235" w:rsidR="00D646B1" w:rsidRDefault="00D646B1" w:rsidP="00D646B1">
            <w:pPr>
              <w:jc w:val="center"/>
              <w:rPr>
                <w:rFonts w:ascii="Play" w:eastAsia="Play" w:hAnsi="Play" w:cs="Play"/>
              </w:rPr>
            </w:pPr>
            <w:r w:rsidRPr="00F57C84">
              <w:t>0.44</w:t>
            </w:r>
          </w:p>
        </w:tc>
        <w:tc>
          <w:tcPr>
            <w:tcW w:w="1899" w:type="dxa"/>
            <w:tcBorders>
              <w:top w:val="single" w:sz="6" w:space="0" w:color="000000"/>
              <w:left w:val="single" w:sz="6" w:space="0" w:color="000000"/>
              <w:bottom w:val="single" w:sz="6" w:space="0" w:color="000000"/>
              <w:right w:val="single" w:sz="6" w:space="0" w:color="000000"/>
            </w:tcBorders>
          </w:tcPr>
          <w:p w14:paraId="28F0F8BC" w14:textId="5DEB674E" w:rsidR="00D646B1" w:rsidRDefault="00D646B1" w:rsidP="00D646B1">
            <w:pPr>
              <w:jc w:val="center"/>
              <w:rPr>
                <w:rFonts w:ascii="Play" w:eastAsia="Play" w:hAnsi="Play" w:cs="Play"/>
              </w:rPr>
            </w:pPr>
            <w:r w:rsidRPr="00F57C84">
              <w:t>0</w:t>
            </w:r>
          </w:p>
        </w:tc>
        <w:tc>
          <w:tcPr>
            <w:tcW w:w="1993" w:type="dxa"/>
            <w:tcBorders>
              <w:top w:val="single" w:sz="6" w:space="0" w:color="000000"/>
              <w:left w:val="single" w:sz="6" w:space="0" w:color="000000"/>
              <w:bottom w:val="single" w:sz="6" w:space="0" w:color="000000"/>
              <w:right w:val="single" w:sz="6" w:space="0" w:color="000000"/>
            </w:tcBorders>
          </w:tcPr>
          <w:p w14:paraId="3F82FE97" w14:textId="799AAE0B" w:rsidR="00D646B1" w:rsidRDefault="00D646B1" w:rsidP="00D646B1">
            <w:pPr>
              <w:jc w:val="center"/>
              <w:rPr>
                <w:rFonts w:ascii="Play" w:eastAsia="Play" w:hAnsi="Play" w:cs="Play"/>
              </w:rPr>
            </w:pPr>
            <w:r w:rsidRPr="00F57C84">
              <w:t>0.38</w:t>
            </w:r>
          </w:p>
        </w:tc>
        <w:tc>
          <w:tcPr>
            <w:tcW w:w="2167" w:type="dxa"/>
            <w:tcBorders>
              <w:top w:val="single" w:sz="6" w:space="0" w:color="000000"/>
              <w:left w:val="single" w:sz="6" w:space="0" w:color="000000"/>
              <w:bottom w:val="single" w:sz="6" w:space="0" w:color="000000"/>
              <w:right w:val="single" w:sz="6" w:space="0" w:color="000000"/>
            </w:tcBorders>
          </w:tcPr>
          <w:p w14:paraId="1F6DCCD6" w14:textId="182D6225" w:rsidR="00D646B1" w:rsidRDefault="00D646B1" w:rsidP="00D646B1">
            <w:pPr>
              <w:jc w:val="center"/>
              <w:rPr>
                <w:rFonts w:ascii="Play" w:eastAsia="Play" w:hAnsi="Play" w:cs="Play"/>
              </w:rPr>
            </w:pPr>
            <w:r w:rsidRPr="00F57C84">
              <w:t>86.36</w:t>
            </w:r>
          </w:p>
        </w:tc>
      </w:tr>
    </w:tbl>
    <w:p w14:paraId="11A144EC" w14:textId="77777777" w:rsidR="007B6C90" w:rsidRDefault="00000000">
      <w:pPr>
        <w:spacing w:before="280" w:after="280"/>
        <w:jc w:val="left"/>
        <w:rPr>
          <w:rFonts w:ascii="Play" w:eastAsia="Play" w:hAnsi="Play" w:cs="Play"/>
          <w:b/>
          <w:bCs/>
          <w:sz w:val="36"/>
          <w:szCs w:val="36"/>
        </w:rPr>
      </w:pPr>
      <w:r>
        <w:rPr>
          <w:rFonts w:ascii="Play" w:eastAsia="Play" w:hAnsi="Play" w:cs="Play"/>
          <w:b/>
          <w:bCs/>
          <w:sz w:val="36"/>
          <w:szCs w:val="36"/>
        </w:rPr>
        <w:t>Discussion</w:t>
      </w:r>
    </w:p>
    <w:p w14:paraId="2CA5D18C" w14:textId="4B5327E5" w:rsidR="009440AE" w:rsidRDefault="00000000" w:rsidP="00B849B1">
      <w:pPr>
        <w:spacing w:before="280" w:after="280"/>
        <w:rPr>
          <w:rFonts w:ascii="Play" w:eastAsia="Play" w:hAnsi="Play" w:cs="Play"/>
        </w:rPr>
      </w:pPr>
      <w:r>
        <w:rPr>
          <w:rFonts w:ascii="Play" w:eastAsia="Play" w:hAnsi="Play" w:cs="Play"/>
        </w:rPr>
        <w:t xml:space="preserve">The study's primary analysis yielded a </w:t>
      </w:r>
      <w:r w:rsidR="002D6ADA" w:rsidRPr="002D6ADA">
        <w:rPr>
          <w:rFonts w:ascii="Play" w:eastAsia="Play" w:hAnsi="Play" w:cs="Play"/>
        </w:rPr>
        <w:t>69,900.13</w:t>
      </w:r>
      <w:r w:rsidR="002D6ADA">
        <w:rPr>
          <w:rFonts w:ascii="Play" w:eastAsia="Play" w:hAnsi="Play" w:cs="Play"/>
        </w:rPr>
        <w:t>ha (</w:t>
      </w:r>
      <w:r w:rsidR="00D646B1">
        <w:rPr>
          <w:rFonts w:ascii="Play" w:eastAsia="Play" w:hAnsi="Play" w:cs="Play"/>
        </w:rPr>
        <w:t>61</w:t>
      </w:r>
      <w:r>
        <w:rPr>
          <w:rFonts w:ascii="Play" w:eastAsia="Play" w:hAnsi="Play" w:cs="Play"/>
        </w:rPr>
        <w:t>.</w:t>
      </w:r>
      <w:r w:rsidR="00D646B1">
        <w:rPr>
          <w:rFonts w:ascii="Play" w:eastAsia="Play" w:hAnsi="Play" w:cs="Play"/>
        </w:rPr>
        <w:t>5</w:t>
      </w:r>
      <w:r>
        <w:rPr>
          <w:rFonts w:ascii="Play" w:eastAsia="Play" w:hAnsi="Play" w:cs="Play"/>
        </w:rPr>
        <w:t>6%</w:t>
      </w:r>
      <w:r w:rsidR="002D6ADA">
        <w:rPr>
          <w:rFonts w:ascii="Play" w:eastAsia="Play" w:hAnsi="Play" w:cs="Play"/>
        </w:rPr>
        <w:t>)</w:t>
      </w:r>
      <w:r>
        <w:rPr>
          <w:rFonts w:ascii="Play" w:eastAsia="Play" w:hAnsi="Play" w:cs="Play"/>
        </w:rPr>
        <w:t xml:space="preserve"> forest </w:t>
      </w:r>
      <w:r w:rsidR="00CA74BF">
        <w:rPr>
          <w:rFonts w:ascii="Play" w:eastAsia="Play" w:hAnsi="Play" w:cs="Play"/>
        </w:rPr>
        <w:t xml:space="preserve">loss </w:t>
      </w:r>
      <w:r>
        <w:rPr>
          <w:rFonts w:ascii="Play" w:eastAsia="Play" w:hAnsi="Play" w:cs="Play"/>
        </w:rPr>
        <w:t xml:space="preserve">when using a baseline NDVI threshold of &gt; 0.6. </w:t>
      </w:r>
      <w:r w:rsidR="001F40B0">
        <w:rPr>
          <w:rFonts w:ascii="Play" w:eastAsia="Play" w:hAnsi="Play" w:cs="Play"/>
        </w:rPr>
        <w:t xml:space="preserve"> This finding appears confounding as the </w:t>
      </w:r>
      <w:r w:rsidR="002D6ADA">
        <w:rPr>
          <w:rFonts w:ascii="Play" w:eastAsia="Play" w:hAnsi="Play" w:cs="Play"/>
        </w:rPr>
        <w:t xml:space="preserve">numerical difference between the forest cover in 2016 and 2025 </w:t>
      </w:r>
      <w:r w:rsidR="001F40B0">
        <w:rPr>
          <w:rFonts w:ascii="Play" w:eastAsia="Play" w:hAnsi="Play" w:cs="Play"/>
        </w:rPr>
        <w:t>showed a</w:t>
      </w:r>
      <w:r w:rsidR="0061672A">
        <w:rPr>
          <w:rFonts w:ascii="Play" w:eastAsia="Play" w:hAnsi="Play" w:cs="Play"/>
        </w:rPr>
        <w:t xml:space="preserve"> </w:t>
      </w:r>
      <w:r w:rsidR="001F40B0">
        <w:rPr>
          <w:rFonts w:ascii="Play" w:eastAsia="Play" w:hAnsi="Play" w:cs="Play"/>
        </w:rPr>
        <w:t>n</w:t>
      </w:r>
      <w:r w:rsidR="0061672A">
        <w:rPr>
          <w:rFonts w:ascii="Play" w:eastAsia="Play" w:hAnsi="Play" w:cs="Play"/>
        </w:rPr>
        <w:t>et</w:t>
      </w:r>
      <w:r w:rsidR="001F40B0">
        <w:rPr>
          <w:rFonts w:ascii="Play" w:eastAsia="Play" w:hAnsi="Play" w:cs="Play"/>
        </w:rPr>
        <w:t xml:space="preserve"> increase in forest cover of </w:t>
      </w:r>
      <w:r w:rsidR="001F40B0" w:rsidRPr="001F40B0">
        <w:rPr>
          <w:rFonts w:ascii="Play" w:eastAsia="Play" w:hAnsi="Play" w:cs="Play"/>
        </w:rPr>
        <w:t>28,676.62</w:t>
      </w:r>
      <w:r w:rsidR="001F40B0">
        <w:rPr>
          <w:rFonts w:ascii="Play" w:eastAsia="Play" w:hAnsi="Play" w:cs="Play"/>
        </w:rPr>
        <w:t>ha (</w:t>
      </w:r>
      <w:r w:rsidR="001F40B0" w:rsidRPr="001F40B0">
        <w:rPr>
          <w:rFonts w:ascii="Play" w:eastAsia="Play" w:hAnsi="Play" w:cs="Play"/>
        </w:rPr>
        <w:t>25.26%</w:t>
      </w:r>
      <w:r w:rsidR="001F40B0">
        <w:rPr>
          <w:rFonts w:ascii="Play" w:eastAsia="Play" w:hAnsi="Play" w:cs="Play"/>
        </w:rPr>
        <w:t>).</w:t>
      </w:r>
      <w:r w:rsidR="002D6ADA">
        <w:rPr>
          <w:rFonts w:ascii="Play" w:eastAsia="Play" w:hAnsi="Play" w:cs="Play"/>
        </w:rPr>
        <w:t xml:space="preserve"> </w:t>
      </w:r>
      <w:r w:rsidR="00B849B1">
        <w:rPr>
          <w:rFonts w:ascii="Play" w:eastAsia="Play" w:hAnsi="Play" w:cs="Play"/>
        </w:rPr>
        <w:t xml:space="preserve"> Literature searches have not been able to directly substantiate this observation; however, there have been some oblique references that suggest limitations in using NDVI values alone to assess forest loss. For example, Mancino et al (2025) indicated that other methods, such as Post Classification Comparison (PCC) yield better results than NDVI. They also highlighted that “</w:t>
      </w:r>
      <w:r w:rsidR="00B849B1" w:rsidRPr="00B849B1">
        <w:rPr>
          <w:rFonts w:ascii="Play" w:eastAsia="Play" w:hAnsi="Play" w:cs="Play"/>
          <w:i/>
          <w:iCs/>
        </w:rPr>
        <w:t>Selecting a suitable threshold for change</w:t>
      </w:r>
      <w:r w:rsidR="00B849B1" w:rsidRPr="00B849B1">
        <w:rPr>
          <w:rFonts w:ascii="Play" w:eastAsia="Play" w:hAnsi="Play" w:cs="Play"/>
          <w:i/>
          <w:iCs/>
        </w:rPr>
        <w:t xml:space="preserve"> </w:t>
      </w:r>
      <w:r w:rsidR="00B849B1" w:rsidRPr="00B849B1">
        <w:rPr>
          <w:rFonts w:ascii="Play" w:eastAsia="Play" w:hAnsi="Play" w:cs="Play"/>
          <w:i/>
          <w:iCs/>
        </w:rPr>
        <w:t>detection is a challenging and time-consuming process that requires considerable</w:t>
      </w:r>
      <w:r w:rsidR="00B849B1" w:rsidRPr="00B849B1">
        <w:rPr>
          <w:rFonts w:ascii="Play" w:eastAsia="Play" w:hAnsi="Play" w:cs="Play"/>
          <w:i/>
          <w:iCs/>
        </w:rPr>
        <w:t xml:space="preserve"> skill.</w:t>
      </w:r>
      <w:r w:rsidR="00B849B1">
        <w:rPr>
          <w:rFonts w:ascii="Play" w:eastAsia="Play" w:hAnsi="Play" w:cs="Play"/>
        </w:rPr>
        <w:t>”</w:t>
      </w:r>
      <w:r w:rsidR="0060723E">
        <w:rPr>
          <w:rFonts w:ascii="Play" w:eastAsia="Play" w:hAnsi="Play" w:cs="Play"/>
        </w:rPr>
        <w:t xml:space="preserve">  Bourgoin et al (2024) also showed that additional remote sensing tools, such as  LIDAR, and further analytical methods, such as canopy height (RH98), height of median energy (RH50) and aboveground biomass density (AGBD), were required to elucidate deeper insights into forest degradation and loss. Finally, </w:t>
      </w:r>
      <w:r w:rsidR="007578C6">
        <w:rPr>
          <w:rFonts w:ascii="Play" w:eastAsia="Play" w:hAnsi="Play" w:cs="Play"/>
        </w:rPr>
        <w:t xml:space="preserve">The </w:t>
      </w:r>
      <w:r w:rsidR="0050337F">
        <w:rPr>
          <w:rFonts w:ascii="Play" w:eastAsia="Play" w:hAnsi="Play" w:cs="Play"/>
        </w:rPr>
        <w:t xml:space="preserve">Forest Declaration Assessment </w:t>
      </w:r>
      <w:r w:rsidR="007578C6">
        <w:rPr>
          <w:rFonts w:ascii="Play" w:eastAsia="Play" w:hAnsi="Play" w:cs="Play"/>
        </w:rPr>
        <w:t xml:space="preserve">partners </w:t>
      </w:r>
      <w:r w:rsidR="0050337F">
        <w:rPr>
          <w:rFonts w:ascii="Play" w:eastAsia="Play" w:hAnsi="Play" w:cs="Play"/>
        </w:rPr>
        <w:t>(2025</w:t>
      </w:r>
      <w:r w:rsidR="007578C6">
        <w:rPr>
          <w:rFonts w:ascii="Play" w:eastAsia="Play" w:hAnsi="Play" w:cs="Play"/>
        </w:rPr>
        <w:t>:31</w:t>
      </w:r>
      <w:r w:rsidR="0050337F">
        <w:rPr>
          <w:rFonts w:ascii="Play" w:eastAsia="Play" w:hAnsi="Play" w:cs="Play"/>
        </w:rPr>
        <w:t>)</w:t>
      </w:r>
      <w:r w:rsidR="0060723E">
        <w:rPr>
          <w:rFonts w:ascii="Play" w:eastAsia="Play" w:hAnsi="Play" w:cs="Play"/>
        </w:rPr>
        <w:t xml:space="preserve"> explained that </w:t>
      </w:r>
      <w:r w:rsidR="0050337F">
        <w:rPr>
          <w:rFonts w:ascii="Play" w:eastAsia="Play" w:hAnsi="Play" w:cs="Play"/>
        </w:rPr>
        <w:t xml:space="preserve">there is substantial </w:t>
      </w:r>
      <w:r w:rsidR="0060723E">
        <w:rPr>
          <w:rFonts w:ascii="Play" w:eastAsia="Play" w:hAnsi="Play" w:cs="Play"/>
        </w:rPr>
        <w:t>regrowth of</w:t>
      </w:r>
      <w:r w:rsidR="0050337F">
        <w:rPr>
          <w:rFonts w:ascii="Play" w:eastAsia="Play" w:hAnsi="Play" w:cs="Play"/>
        </w:rPr>
        <w:t xml:space="preserve"> forest since 2015 globally, suggesting recovery. However, such statistics could suggest increased deforestation, leading to new areas for regrowth, as well as possible abandoning of deforested lands. </w:t>
      </w:r>
      <w:r w:rsidR="007578C6">
        <w:rPr>
          <w:rFonts w:ascii="Play" w:eastAsia="Play" w:hAnsi="Play" w:cs="Play"/>
        </w:rPr>
        <w:t xml:space="preserve">These references can lend credence to the forest loss figures derived in the Results section, suggesting that the regrowth of secondary forests or agriculture has contributed to increased forest cover, while </w:t>
      </w:r>
      <w:r w:rsidR="007578C6">
        <w:rPr>
          <w:rFonts w:ascii="Play" w:eastAsia="Play" w:hAnsi="Play" w:cs="Play"/>
        </w:rPr>
        <w:t xml:space="preserve">forest loss has indeed been </w:t>
      </w:r>
      <w:r w:rsidR="007578C6">
        <w:rPr>
          <w:rFonts w:ascii="Play" w:eastAsia="Play" w:hAnsi="Play" w:cs="Play"/>
        </w:rPr>
        <w:t xml:space="preserve">occurred during the intervening period.  </w:t>
      </w:r>
    </w:p>
    <w:p w14:paraId="427E87CC" w14:textId="77777777" w:rsidR="007B6C90" w:rsidRDefault="00000000">
      <w:pPr>
        <w:spacing w:before="280" w:after="280"/>
        <w:rPr>
          <w:rFonts w:ascii="Play" w:eastAsia="Play" w:hAnsi="Play" w:cs="Play"/>
        </w:rPr>
      </w:pPr>
      <w:r>
        <w:rPr>
          <w:rFonts w:ascii="Play" w:eastAsia="Play" w:hAnsi="Play" w:cs="Play"/>
        </w:rPr>
        <w:lastRenderedPageBreak/>
        <w:t xml:space="preserve">To contextualize these findings, a comparison was made with data from Global Forest Watch (GFW) for the </w:t>
      </w:r>
      <w:proofErr w:type="spellStart"/>
      <w:r>
        <w:rPr>
          <w:rFonts w:ascii="Play" w:eastAsia="Play" w:hAnsi="Play" w:cs="Play"/>
        </w:rPr>
        <w:t>Bislig</w:t>
      </w:r>
      <w:proofErr w:type="spellEnd"/>
      <w:r>
        <w:rPr>
          <w:rFonts w:ascii="Play" w:eastAsia="Play" w:hAnsi="Play" w:cs="Play"/>
        </w:rPr>
        <w:t xml:space="preserve">-Visayas area, using the same KBA boundary (Global Forest Watch, 2025). The GFW dashboard indicates a 25% decrease in primary forest area between 2002 and </w:t>
      </w:r>
      <w:proofErr w:type="gramStart"/>
      <w:r>
        <w:rPr>
          <w:rFonts w:ascii="Play" w:eastAsia="Play" w:hAnsi="Play" w:cs="Play"/>
        </w:rPr>
        <w:t>2024</w:t>
      </w:r>
      <w:proofErr w:type="gramEnd"/>
      <w:r>
        <w:rPr>
          <w:rFonts w:ascii="Play" w:eastAsia="Play" w:hAnsi="Play" w:cs="Play"/>
        </w:rPr>
        <w:t xml:space="preserve"> and a 28% loss of total tree cover between 2001 and 2024. A direct comparison between this study's results and GFW data is not appropriate, as the time periods differ significantly and GFW utilizes a combination of metrics beyond NDVI to derive its estimates (World Resources Institute, 2025).</w:t>
      </w:r>
    </w:p>
    <w:p w14:paraId="7087F51E" w14:textId="77777777" w:rsidR="007B6C90" w:rsidRDefault="00000000">
      <w:pPr>
        <w:spacing w:before="280" w:after="280"/>
        <w:jc w:val="left"/>
        <w:rPr>
          <w:rFonts w:ascii="Play" w:eastAsia="Play" w:hAnsi="Play" w:cs="Play"/>
          <w:b/>
          <w:bCs/>
          <w:sz w:val="36"/>
          <w:szCs w:val="36"/>
        </w:rPr>
      </w:pPr>
      <w:r>
        <w:rPr>
          <w:rFonts w:ascii="Play" w:eastAsia="Play" w:hAnsi="Play" w:cs="Play"/>
          <w:b/>
          <w:bCs/>
          <w:sz w:val="36"/>
          <w:szCs w:val="36"/>
        </w:rPr>
        <w:t>Conclusion</w:t>
      </w:r>
    </w:p>
    <w:p w14:paraId="2AD37D68" w14:textId="77777777" w:rsidR="007B6C90" w:rsidRDefault="00000000">
      <w:pPr>
        <w:spacing w:before="280" w:after="280"/>
        <w:rPr>
          <w:rFonts w:ascii="Play" w:eastAsia="Play" w:hAnsi="Play" w:cs="Play"/>
        </w:rPr>
      </w:pPr>
      <w:r>
        <w:rPr>
          <w:rFonts w:ascii="Play" w:eastAsia="Play" w:hAnsi="Play" w:cs="Play"/>
        </w:rPr>
        <w:t xml:space="preserve">This study highlights the complexity of measuring forest change in a dynamic conservation landscape like </w:t>
      </w:r>
      <w:proofErr w:type="gramStart"/>
      <w:r>
        <w:rPr>
          <w:rFonts w:ascii="Play" w:eastAsia="Play" w:hAnsi="Play" w:cs="Play"/>
        </w:rPr>
        <w:t>PICOP,</w:t>
      </w:r>
      <w:proofErr w:type="gramEnd"/>
      <w:r>
        <w:rPr>
          <w:rFonts w:ascii="Play" w:eastAsia="Play" w:hAnsi="Play" w:cs="Play"/>
        </w:rPr>
        <w:t xml:space="preserve"> </w:t>
      </w:r>
      <w:proofErr w:type="spellStart"/>
      <w:r>
        <w:rPr>
          <w:rFonts w:ascii="Play" w:eastAsia="Play" w:hAnsi="Play" w:cs="Play"/>
        </w:rPr>
        <w:t>Bislig</w:t>
      </w:r>
      <w:proofErr w:type="spellEnd"/>
      <w:r>
        <w:rPr>
          <w:rFonts w:ascii="Play" w:eastAsia="Play" w:hAnsi="Play" w:cs="Play"/>
        </w:rPr>
        <w:t>. By leveraging satellite-derived NDVI, it demonstrates that estimates of forest cover change are highly sensitive to the analytical threshold applied, underscoring the necessity for careful calibration and transparent reporting in remote sensing analyses.</w:t>
      </w:r>
    </w:p>
    <w:p w14:paraId="0E7EBBDA" w14:textId="77777777" w:rsidR="007B6C90" w:rsidRDefault="00000000">
      <w:pPr>
        <w:spacing w:before="280" w:after="280"/>
        <w:rPr>
          <w:rFonts w:ascii="Play" w:eastAsia="Play" w:hAnsi="Play" w:cs="Play"/>
        </w:rPr>
      </w:pPr>
      <w:r>
        <w:rPr>
          <w:rFonts w:ascii="Play" w:eastAsia="Play" w:hAnsi="Play" w:cs="Play"/>
        </w:rPr>
        <w:t>The comparison with Global Forest Watch data reinforces a broader conservation lesson: the ecological value of human-modified and fragmented forests should not be underestimated. As supported by existing research, disturbed landscapes in Mindanao, including agroforests within protected areas, can serve as vital refugia for threatened and endemic biodiversity (Tabora et al., 2023; Panopio et al., 2021; Zapanta et al., 2019). This evidence points to an urgent need to expand conservation efforts beyond pristine, intact forests to encompass these critically important, human-modified landscapes.</w:t>
      </w:r>
    </w:p>
    <w:p w14:paraId="2EF94F19" w14:textId="77777777" w:rsidR="007B6C90" w:rsidRDefault="00000000">
      <w:pPr>
        <w:spacing w:before="280" w:after="280"/>
        <w:rPr>
          <w:rFonts w:ascii="Play" w:eastAsia="Play" w:hAnsi="Play" w:cs="Play"/>
        </w:rPr>
      </w:pPr>
      <w:r>
        <w:rPr>
          <w:rFonts w:ascii="Play" w:eastAsia="Play" w:hAnsi="Play" w:cs="Play"/>
        </w:rPr>
        <w:t>Protecting sites like PICOP demands the implementation of adaptive, fine-scale monitoring and the formal integration of disturbed yet ecologically significant habitats into conservation policy and practice. The need for targeted, site-level action is clear if Mindanao’s irreplaceable forest ecosystems and their unique biodiversity are to be secured for the future.</w:t>
      </w:r>
    </w:p>
    <w:p w14:paraId="3909B6BD" w14:textId="77777777" w:rsidR="005D78B7" w:rsidRDefault="005D78B7">
      <w:pPr>
        <w:rPr>
          <w:rFonts w:ascii="Play" w:eastAsia="Play" w:hAnsi="Play" w:cs="Play"/>
          <w:b/>
          <w:bCs/>
          <w:sz w:val="36"/>
          <w:szCs w:val="36"/>
        </w:rPr>
      </w:pPr>
      <w:r>
        <w:rPr>
          <w:rFonts w:ascii="Play" w:eastAsia="Play" w:hAnsi="Play" w:cs="Play"/>
          <w:b/>
          <w:bCs/>
          <w:sz w:val="36"/>
          <w:szCs w:val="36"/>
        </w:rPr>
        <w:br w:type="page"/>
      </w:r>
    </w:p>
    <w:p w14:paraId="2D5C2EB3" w14:textId="5BCF4151" w:rsidR="007B6C90" w:rsidRDefault="00000000">
      <w:pPr>
        <w:spacing w:before="280" w:after="280"/>
        <w:jc w:val="left"/>
        <w:rPr>
          <w:rFonts w:ascii="Play" w:eastAsia="Play" w:hAnsi="Play" w:cs="Play"/>
          <w:b/>
          <w:bCs/>
          <w:sz w:val="36"/>
          <w:szCs w:val="36"/>
        </w:rPr>
      </w:pPr>
      <w:r>
        <w:rPr>
          <w:rFonts w:ascii="Play" w:eastAsia="Play" w:hAnsi="Play" w:cs="Play"/>
          <w:b/>
          <w:bCs/>
          <w:sz w:val="36"/>
          <w:szCs w:val="36"/>
        </w:rPr>
        <w:lastRenderedPageBreak/>
        <w:t>References</w:t>
      </w:r>
    </w:p>
    <w:p w14:paraId="447860D8" w14:textId="77777777" w:rsidR="007B6C90" w:rsidRDefault="00000000">
      <w:pPr>
        <w:spacing w:before="280" w:after="280"/>
        <w:rPr>
          <w:rFonts w:ascii="Play" w:eastAsia="Play" w:hAnsi="Play" w:cs="Play"/>
        </w:rPr>
      </w:pPr>
      <w:proofErr w:type="spellStart"/>
      <w:r>
        <w:rPr>
          <w:rFonts w:ascii="Play" w:eastAsia="Play" w:hAnsi="Play" w:cs="Play"/>
        </w:rPr>
        <w:t>Agduma</w:t>
      </w:r>
      <w:proofErr w:type="spellEnd"/>
      <w:r>
        <w:rPr>
          <w:rFonts w:ascii="Play" w:eastAsia="Play" w:hAnsi="Play" w:cs="Play"/>
        </w:rPr>
        <w:t xml:space="preserve">, A. R., Garcia, F. G., </w:t>
      </w:r>
      <w:proofErr w:type="spellStart"/>
      <w:r>
        <w:rPr>
          <w:rFonts w:ascii="Play" w:eastAsia="Play" w:hAnsi="Play" w:cs="Play"/>
        </w:rPr>
        <w:t>Cabasan</w:t>
      </w:r>
      <w:proofErr w:type="spellEnd"/>
      <w:r>
        <w:rPr>
          <w:rFonts w:ascii="Play" w:eastAsia="Play" w:hAnsi="Play" w:cs="Play"/>
        </w:rPr>
        <w:t xml:space="preserve">, M. T., Pimentel, J., Ele, R. J., Rubio, M., Murray, S., Hilario-Husain, B. A., Cruz, K. C. D., Abdullah, S., &amp; </w:t>
      </w:r>
      <w:proofErr w:type="spellStart"/>
      <w:r>
        <w:rPr>
          <w:rFonts w:ascii="Play" w:eastAsia="Play" w:hAnsi="Play" w:cs="Play"/>
        </w:rPr>
        <w:t>Balase</w:t>
      </w:r>
      <w:proofErr w:type="spellEnd"/>
      <w:r>
        <w:rPr>
          <w:rFonts w:ascii="Play" w:eastAsia="Play" w:hAnsi="Play" w:cs="Play"/>
        </w:rPr>
        <w:t xml:space="preserve">, </w:t>
      </w:r>
      <w:proofErr w:type="gramStart"/>
      <w:r>
        <w:rPr>
          <w:rFonts w:ascii="Play" w:eastAsia="Play" w:hAnsi="Play" w:cs="Play"/>
        </w:rPr>
        <w:t>S. M</w:t>
      </w:r>
      <w:proofErr w:type="gramEnd"/>
      <w:r>
        <w:rPr>
          <w:rFonts w:ascii="Play" w:eastAsia="Play" w:hAnsi="Play" w:cs="Play"/>
        </w:rPr>
        <w:t xml:space="preserve">. (2023). Overview of priorities, threats, and challenges to biodiversity conservation in the southern Philippines. </w:t>
      </w:r>
      <w:r>
        <w:rPr>
          <w:rFonts w:ascii="Play" w:eastAsia="Play" w:hAnsi="Play" w:cs="Play"/>
          <w:i/>
          <w:iCs/>
        </w:rPr>
        <w:t>Regional Sustainability, 4</w:t>
      </w:r>
      <w:r>
        <w:rPr>
          <w:rFonts w:ascii="Play" w:eastAsia="Play" w:hAnsi="Play" w:cs="Play"/>
        </w:rPr>
        <w:t>(2), 203–213. https://doi.org/10.1016/j.regsus.2023.05.003</w:t>
      </w:r>
    </w:p>
    <w:p w14:paraId="592813D0" w14:textId="77777777" w:rsidR="007B6C90" w:rsidRDefault="00000000">
      <w:pPr>
        <w:spacing w:before="280" w:after="280"/>
        <w:rPr>
          <w:rFonts w:ascii="Play" w:eastAsia="Play" w:hAnsi="Play" w:cs="Play"/>
        </w:rPr>
      </w:pPr>
      <w:r>
        <w:rPr>
          <w:rFonts w:ascii="Play" w:eastAsia="Play" w:hAnsi="Play" w:cs="Play"/>
        </w:rPr>
        <w:t xml:space="preserve">Apan, A., Suarez, L. A., </w:t>
      </w:r>
      <w:proofErr w:type="spellStart"/>
      <w:r>
        <w:rPr>
          <w:rFonts w:ascii="Play" w:eastAsia="Play" w:hAnsi="Play" w:cs="Play"/>
        </w:rPr>
        <w:t>Maraseni</w:t>
      </w:r>
      <w:proofErr w:type="spellEnd"/>
      <w:r>
        <w:rPr>
          <w:rFonts w:ascii="Play" w:eastAsia="Play" w:hAnsi="Play" w:cs="Play"/>
        </w:rPr>
        <w:t xml:space="preserve">, T., &amp; Castillo, J. A. (2017). The rate, extent and spatial predictors of forest loss (2000–2012) in the terrestrial protected areas of the Philippines. </w:t>
      </w:r>
      <w:r>
        <w:rPr>
          <w:rFonts w:ascii="Play" w:eastAsia="Play" w:hAnsi="Play" w:cs="Play"/>
          <w:i/>
          <w:iCs/>
        </w:rPr>
        <w:t>Applied Geography, 81</w:t>
      </w:r>
      <w:r>
        <w:rPr>
          <w:rFonts w:ascii="Play" w:eastAsia="Play" w:hAnsi="Play" w:cs="Play"/>
        </w:rPr>
        <w:t>, 32–42. https://doi.org/10.1016/j.apgeog.2017.02.007</w:t>
      </w:r>
    </w:p>
    <w:p w14:paraId="718CE821" w14:textId="77777777" w:rsidR="007B6C90" w:rsidRDefault="00000000">
      <w:pPr>
        <w:spacing w:before="280" w:after="280"/>
        <w:rPr>
          <w:rFonts w:ascii="Play" w:eastAsia="Play" w:hAnsi="Play" w:cs="Play"/>
        </w:rPr>
      </w:pPr>
      <w:proofErr w:type="spellStart"/>
      <w:r>
        <w:rPr>
          <w:rFonts w:ascii="Play" w:eastAsia="Play" w:hAnsi="Play" w:cs="Play"/>
        </w:rPr>
        <w:t>BirdLife</w:t>
      </w:r>
      <w:proofErr w:type="spellEnd"/>
      <w:r>
        <w:rPr>
          <w:rFonts w:ascii="Play" w:eastAsia="Play" w:hAnsi="Play" w:cs="Play"/>
        </w:rPr>
        <w:t xml:space="preserve"> International (2025) Site factsheet: </w:t>
      </w:r>
      <w:proofErr w:type="spellStart"/>
      <w:r>
        <w:rPr>
          <w:rFonts w:ascii="Play" w:eastAsia="Play" w:hAnsi="Play" w:cs="Play"/>
        </w:rPr>
        <w:t>Bislig</w:t>
      </w:r>
      <w:proofErr w:type="spellEnd"/>
      <w:r>
        <w:rPr>
          <w:rFonts w:ascii="Play" w:eastAsia="Play" w:hAnsi="Play" w:cs="Play"/>
        </w:rPr>
        <w:t>. Downloaded from https://datazone.birdlife.org/site/factsheet/9786-bislig on 14 November 2025.</w:t>
      </w:r>
    </w:p>
    <w:p w14:paraId="45B22476" w14:textId="0FB99C97" w:rsidR="007B6C90" w:rsidRDefault="00000000">
      <w:pPr>
        <w:spacing w:before="280" w:after="280"/>
        <w:rPr>
          <w:rFonts w:ascii="Play" w:eastAsia="Play" w:hAnsi="Play" w:cs="Play"/>
        </w:rPr>
      </w:pPr>
      <w:proofErr w:type="spellStart"/>
      <w:r>
        <w:rPr>
          <w:rFonts w:ascii="Play" w:eastAsia="Play" w:hAnsi="Play" w:cs="Play"/>
        </w:rPr>
        <w:t>Birdtour</w:t>
      </w:r>
      <w:proofErr w:type="spellEnd"/>
      <w:r>
        <w:rPr>
          <w:rFonts w:ascii="Play" w:eastAsia="Play" w:hAnsi="Play" w:cs="Play"/>
        </w:rPr>
        <w:t xml:space="preserve"> Asia. (2025). </w:t>
      </w:r>
      <w:r>
        <w:rPr>
          <w:rFonts w:ascii="Play" w:eastAsia="Play" w:hAnsi="Play" w:cs="Play"/>
          <w:i/>
          <w:iCs/>
        </w:rPr>
        <w:t>Philippines 2027</w:t>
      </w:r>
      <w:r>
        <w:rPr>
          <w:rFonts w:ascii="Play" w:eastAsia="Play" w:hAnsi="Play" w:cs="Play"/>
        </w:rPr>
        <w:t xml:space="preserve">. Retrieved 14 November 2025, from </w:t>
      </w:r>
      <w:hyperlink r:id="rId8" w:history="1">
        <w:r w:rsidR="0060723E" w:rsidRPr="00574F66">
          <w:rPr>
            <w:rStyle w:val="Hyperlink"/>
            <w:rFonts w:ascii="Play" w:eastAsia="Play" w:hAnsi="Play" w:cs="Play"/>
          </w:rPr>
          <w:t>https://www.birdtourasia.com/philippines2027</w:t>
        </w:r>
      </w:hyperlink>
    </w:p>
    <w:p w14:paraId="0469C5B6" w14:textId="77777777" w:rsidR="0060723E" w:rsidRPr="0060723E" w:rsidRDefault="0060723E" w:rsidP="0060723E">
      <w:pPr>
        <w:spacing w:before="280" w:after="280"/>
        <w:rPr>
          <w:rFonts w:ascii="Play" w:eastAsia="Play" w:hAnsi="Play" w:cs="Play"/>
          <w:lang w:val="en-001"/>
        </w:rPr>
      </w:pPr>
      <w:r w:rsidRPr="0060723E">
        <w:rPr>
          <w:rFonts w:ascii="Play" w:eastAsia="Play" w:hAnsi="Play" w:cs="Play"/>
          <w:lang w:val="en-001"/>
        </w:rPr>
        <w:t xml:space="preserve">Bourgoin, C., Ceccherini, G., </w:t>
      </w:r>
      <w:proofErr w:type="spellStart"/>
      <w:r w:rsidRPr="0060723E">
        <w:rPr>
          <w:rFonts w:ascii="Play" w:eastAsia="Play" w:hAnsi="Play" w:cs="Play"/>
          <w:lang w:val="en-001"/>
        </w:rPr>
        <w:t>Girardello</w:t>
      </w:r>
      <w:proofErr w:type="spellEnd"/>
      <w:r w:rsidRPr="0060723E">
        <w:rPr>
          <w:rFonts w:ascii="Play" w:eastAsia="Play" w:hAnsi="Play" w:cs="Play"/>
          <w:lang w:val="en-001"/>
        </w:rPr>
        <w:t xml:space="preserve">, M., </w:t>
      </w:r>
      <w:proofErr w:type="spellStart"/>
      <w:r w:rsidRPr="0060723E">
        <w:rPr>
          <w:rFonts w:ascii="Play" w:eastAsia="Play" w:hAnsi="Play" w:cs="Play"/>
          <w:lang w:val="en-001"/>
        </w:rPr>
        <w:t>Vancutsem</w:t>
      </w:r>
      <w:proofErr w:type="spellEnd"/>
      <w:r w:rsidRPr="0060723E">
        <w:rPr>
          <w:rFonts w:ascii="Play" w:eastAsia="Play" w:hAnsi="Play" w:cs="Play"/>
          <w:lang w:val="en-001"/>
        </w:rPr>
        <w:t xml:space="preserve">, C., Avitabile, V., Beck, P. S. A., </w:t>
      </w:r>
      <w:proofErr w:type="spellStart"/>
      <w:r w:rsidRPr="0060723E">
        <w:rPr>
          <w:rFonts w:ascii="Play" w:eastAsia="Play" w:hAnsi="Play" w:cs="Play"/>
          <w:lang w:val="en-001"/>
        </w:rPr>
        <w:t>Beuchle</w:t>
      </w:r>
      <w:proofErr w:type="spellEnd"/>
      <w:r w:rsidRPr="0060723E">
        <w:rPr>
          <w:rFonts w:ascii="Play" w:eastAsia="Play" w:hAnsi="Play" w:cs="Play"/>
          <w:lang w:val="en-001"/>
        </w:rPr>
        <w:t xml:space="preserve">, R., Blanc, L., </w:t>
      </w:r>
      <w:proofErr w:type="spellStart"/>
      <w:r w:rsidRPr="0060723E">
        <w:rPr>
          <w:rFonts w:ascii="Play" w:eastAsia="Play" w:hAnsi="Play" w:cs="Play"/>
          <w:lang w:val="en-001"/>
        </w:rPr>
        <w:t>Duveiller</w:t>
      </w:r>
      <w:proofErr w:type="spellEnd"/>
      <w:r w:rsidRPr="0060723E">
        <w:rPr>
          <w:rFonts w:ascii="Play" w:eastAsia="Play" w:hAnsi="Play" w:cs="Play"/>
          <w:lang w:val="en-001"/>
        </w:rPr>
        <w:t xml:space="preserve">, G., </w:t>
      </w:r>
      <w:proofErr w:type="spellStart"/>
      <w:r w:rsidRPr="0060723E">
        <w:rPr>
          <w:rFonts w:ascii="Play" w:eastAsia="Play" w:hAnsi="Play" w:cs="Play"/>
          <w:lang w:val="en-001"/>
        </w:rPr>
        <w:t>Migliavacca</w:t>
      </w:r>
      <w:proofErr w:type="spellEnd"/>
      <w:r w:rsidRPr="0060723E">
        <w:rPr>
          <w:rFonts w:ascii="Play" w:eastAsia="Play" w:hAnsi="Play" w:cs="Play"/>
          <w:lang w:val="en-001"/>
        </w:rPr>
        <w:t xml:space="preserve">, M., </w:t>
      </w:r>
      <w:proofErr w:type="spellStart"/>
      <w:r w:rsidRPr="0060723E">
        <w:rPr>
          <w:rFonts w:ascii="Play" w:eastAsia="Play" w:hAnsi="Play" w:cs="Play"/>
          <w:lang w:val="en-001"/>
        </w:rPr>
        <w:t>Vieilledent</w:t>
      </w:r>
      <w:proofErr w:type="spellEnd"/>
      <w:r w:rsidRPr="0060723E">
        <w:rPr>
          <w:rFonts w:ascii="Play" w:eastAsia="Play" w:hAnsi="Play" w:cs="Play"/>
          <w:lang w:val="en-001"/>
        </w:rPr>
        <w:t xml:space="preserve">, G., </w:t>
      </w:r>
      <w:proofErr w:type="spellStart"/>
      <w:r w:rsidRPr="0060723E">
        <w:rPr>
          <w:rFonts w:ascii="Play" w:eastAsia="Play" w:hAnsi="Play" w:cs="Play"/>
          <w:lang w:val="en-001"/>
        </w:rPr>
        <w:t>Cescatti</w:t>
      </w:r>
      <w:proofErr w:type="spellEnd"/>
      <w:r w:rsidRPr="0060723E">
        <w:rPr>
          <w:rFonts w:ascii="Play" w:eastAsia="Play" w:hAnsi="Play" w:cs="Play"/>
          <w:lang w:val="en-001"/>
        </w:rPr>
        <w:t xml:space="preserve">, A., &amp; Achard, F. (2024). Human degradation of tropical moist forests is greater than previously estimated. </w:t>
      </w:r>
      <w:r w:rsidRPr="0060723E">
        <w:rPr>
          <w:rFonts w:ascii="Play" w:eastAsia="Play" w:hAnsi="Play" w:cs="Play"/>
          <w:i/>
          <w:iCs/>
          <w:lang w:val="en-001"/>
        </w:rPr>
        <w:t>Nature</w:t>
      </w:r>
      <w:r w:rsidRPr="0060723E">
        <w:rPr>
          <w:rFonts w:ascii="Play" w:eastAsia="Play" w:hAnsi="Play" w:cs="Play"/>
          <w:lang w:val="en-001"/>
        </w:rPr>
        <w:t xml:space="preserve">, </w:t>
      </w:r>
      <w:r w:rsidRPr="0060723E">
        <w:rPr>
          <w:rFonts w:ascii="Play" w:eastAsia="Play" w:hAnsi="Play" w:cs="Play"/>
          <w:i/>
          <w:iCs/>
          <w:lang w:val="en-001"/>
        </w:rPr>
        <w:t>631</w:t>
      </w:r>
      <w:r w:rsidRPr="0060723E">
        <w:rPr>
          <w:rFonts w:ascii="Play" w:eastAsia="Play" w:hAnsi="Play" w:cs="Play"/>
          <w:lang w:val="en-001"/>
        </w:rPr>
        <w:t xml:space="preserve">(8021), 570. </w:t>
      </w:r>
      <w:hyperlink r:id="rId9" w:history="1">
        <w:r w:rsidRPr="0060723E">
          <w:rPr>
            <w:rStyle w:val="Hyperlink"/>
            <w:rFonts w:ascii="Play" w:eastAsia="Play" w:hAnsi="Play" w:cs="Play"/>
            <w:lang w:val="en-001"/>
          </w:rPr>
          <w:t>https://doi.org/10.1038/s41586-024-07629-0</w:t>
        </w:r>
      </w:hyperlink>
    </w:p>
    <w:p w14:paraId="5E2DA10D" w14:textId="77777777" w:rsidR="007B6C90" w:rsidRDefault="00000000">
      <w:pPr>
        <w:spacing w:before="280" w:after="280"/>
        <w:rPr>
          <w:rFonts w:ascii="Play" w:eastAsia="Play" w:hAnsi="Play" w:cs="Play"/>
        </w:rPr>
      </w:pPr>
      <w:r>
        <w:rPr>
          <w:rFonts w:ascii="Play" w:eastAsia="Play" w:hAnsi="Play" w:cs="Play"/>
        </w:rPr>
        <w:t>European Space Agency (2025). Copernicus browser. Copernicus Data Space Ecosystem. Retrieved November 14, 2025, from https://browser.dataspace.copernicus.eu/</w:t>
      </w:r>
    </w:p>
    <w:p w14:paraId="178855ED" w14:textId="77777777" w:rsidR="007B6C90" w:rsidRDefault="00000000">
      <w:pPr>
        <w:spacing w:before="280" w:after="280"/>
        <w:rPr>
          <w:rFonts w:ascii="Play" w:eastAsia="Play" w:hAnsi="Play" w:cs="Play"/>
        </w:rPr>
      </w:pPr>
      <w:r>
        <w:rPr>
          <w:rFonts w:ascii="Play" w:eastAsia="Play" w:hAnsi="Play" w:cs="Play"/>
        </w:rPr>
        <w:t>Forest Management Bureau (2021). Philippine forestry statistics 2021. Accessed from https://drive.google.com/file/d/1V2JS74DPvMc4A8r3AJwrMDoAmXptI9f/view?usp1⁄4embed_facebook on 14 November 2025.</w:t>
      </w:r>
    </w:p>
    <w:p w14:paraId="32BA4266" w14:textId="6FDEAAA8" w:rsidR="0050337F" w:rsidRDefault="0050337F">
      <w:pPr>
        <w:spacing w:before="280" w:after="280"/>
        <w:rPr>
          <w:rFonts w:ascii="Play" w:eastAsia="Play" w:hAnsi="Play" w:cs="Play"/>
        </w:rPr>
      </w:pPr>
      <w:r w:rsidRPr="0050337F">
        <w:rPr>
          <w:rFonts w:ascii="Play" w:eastAsia="Play" w:hAnsi="Play" w:cs="Play"/>
        </w:rPr>
        <w:t>Forest Declaration Assessment</w:t>
      </w:r>
      <w:r w:rsidR="007578C6">
        <w:rPr>
          <w:rFonts w:ascii="Play" w:eastAsia="Play" w:hAnsi="Play" w:cs="Play"/>
        </w:rPr>
        <w:t xml:space="preserve"> Partners</w:t>
      </w:r>
      <w:r w:rsidRPr="0050337F">
        <w:rPr>
          <w:rFonts w:ascii="Play" w:eastAsia="Play" w:hAnsi="Play" w:cs="Play"/>
        </w:rPr>
        <w:t xml:space="preserve">. (2025, October 13). </w:t>
      </w:r>
      <w:r w:rsidRPr="0050337F">
        <w:rPr>
          <w:rFonts w:ascii="Play" w:eastAsia="Play" w:hAnsi="Play" w:cs="Play"/>
          <w:i/>
          <w:iCs/>
        </w:rPr>
        <w:t>Forest Declaration Assessment 2025</w:t>
      </w:r>
      <w:r w:rsidRPr="0050337F">
        <w:rPr>
          <w:rFonts w:ascii="Play" w:eastAsia="Play" w:hAnsi="Play" w:cs="Play"/>
        </w:rPr>
        <w:t xml:space="preserve">. </w:t>
      </w:r>
      <w:r w:rsidR="007578C6" w:rsidRPr="007578C6">
        <w:rPr>
          <w:rFonts w:ascii="Play" w:eastAsia="Play" w:hAnsi="Play" w:cs="Play"/>
        </w:rPr>
        <w:t>Climate Focus (coordinator and editor).</w:t>
      </w:r>
      <w:r w:rsidRPr="0050337F">
        <w:rPr>
          <w:rFonts w:ascii="Play" w:eastAsia="Play" w:hAnsi="Play" w:cs="Play"/>
        </w:rPr>
        <w:t xml:space="preserve"> </w:t>
      </w:r>
      <w:hyperlink r:id="rId10" w:history="1">
        <w:r w:rsidRPr="00574F66">
          <w:rPr>
            <w:rStyle w:val="Hyperlink"/>
            <w:rFonts w:ascii="Play" w:eastAsia="Play" w:hAnsi="Play" w:cs="Play"/>
          </w:rPr>
          <w:t>https://forestdeclaration.org/resources/forest-declaration-assessment-2025</w:t>
        </w:r>
      </w:hyperlink>
      <w:r>
        <w:rPr>
          <w:rFonts w:ascii="Play" w:eastAsia="Play" w:hAnsi="Play" w:cs="Play"/>
        </w:rPr>
        <w:t>. Assessed on 25 November 2025.</w:t>
      </w:r>
    </w:p>
    <w:p w14:paraId="645535A5" w14:textId="77777777" w:rsidR="007B6C90" w:rsidRDefault="00000000">
      <w:pPr>
        <w:spacing w:before="280" w:after="280"/>
        <w:rPr>
          <w:rFonts w:ascii="Play" w:eastAsia="Play" w:hAnsi="Play" w:cs="Play"/>
        </w:rPr>
      </w:pPr>
      <w:r>
        <w:rPr>
          <w:rFonts w:ascii="Play" w:eastAsia="Play" w:hAnsi="Play" w:cs="Play"/>
        </w:rPr>
        <w:t>Global Forest Watch. (2025). Area of interest dashboard. Global Forest Watch. https://www.globalforestwatch.org/dashboards/aoi/68cc0c7e387a230015df4f4c/?map=eyJjYW5Cb3VuZCI6dHJ1ZX0%3D. Accessed on 15 November 2025.</w:t>
      </w:r>
    </w:p>
    <w:p w14:paraId="33F7DEE6" w14:textId="77777777" w:rsidR="007B6C90" w:rsidRDefault="00000000">
      <w:pPr>
        <w:spacing w:before="280" w:after="280"/>
        <w:rPr>
          <w:rFonts w:ascii="Play" w:eastAsia="Play" w:hAnsi="Play" w:cs="Play"/>
        </w:rPr>
      </w:pPr>
      <w:r>
        <w:rPr>
          <w:rFonts w:ascii="Play" w:eastAsia="Play" w:hAnsi="Play" w:cs="Play"/>
        </w:rPr>
        <w:t xml:space="preserve">Heaney, L. R., &amp; Regalado, J. C., Jr. (1998). </w:t>
      </w:r>
      <w:r>
        <w:rPr>
          <w:rFonts w:ascii="Play" w:eastAsia="Play" w:hAnsi="Play" w:cs="Play"/>
          <w:i/>
          <w:iCs/>
        </w:rPr>
        <w:t>Vanishing treasures of the Philippine rain forest</w:t>
      </w:r>
      <w:r>
        <w:rPr>
          <w:rFonts w:ascii="Play" w:eastAsia="Play" w:hAnsi="Play" w:cs="Play"/>
        </w:rPr>
        <w:t>. Illinois: The Field Museum.</w:t>
      </w:r>
    </w:p>
    <w:p w14:paraId="51307001" w14:textId="77777777" w:rsidR="00B849B1" w:rsidRPr="00B849B1" w:rsidRDefault="00B849B1" w:rsidP="00B849B1">
      <w:pPr>
        <w:spacing w:before="280" w:after="280"/>
        <w:rPr>
          <w:rFonts w:ascii="Play" w:eastAsia="Play" w:hAnsi="Play" w:cs="Play"/>
          <w:lang w:val="en-001"/>
        </w:rPr>
      </w:pPr>
      <w:r w:rsidRPr="00B849B1">
        <w:rPr>
          <w:rFonts w:ascii="Play" w:eastAsia="Play" w:hAnsi="Play" w:cs="Play"/>
          <w:lang w:val="en-001"/>
        </w:rPr>
        <w:t xml:space="preserve">Mancino, G., Falciano, A., &amp; Trivigno, M. L. (2025). Change Detection methods for forest expansion assessment in the last twenty years in the Mediterranean Basin. </w:t>
      </w:r>
      <w:proofErr w:type="spellStart"/>
      <w:r w:rsidRPr="00B849B1">
        <w:rPr>
          <w:rFonts w:ascii="Play" w:eastAsia="Play" w:hAnsi="Play" w:cs="Play"/>
          <w:i/>
          <w:iCs/>
          <w:lang w:val="en-001"/>
        </w:rPr>
        <w:t>iForest</w:t>
      </w:r>
      <w:proofErr w:type="spellEnd"/>
      <w:r w:rsidRPr="00B849B1">
        <w:rPr>
          <w:rFonts w:ascii="Play" w:eastAsia="Play" w:hAnsi="Play" w:cs="Play"/>
          <w:i/>
          <w:iCs/>
          <w:lang w:val="en-001"/>
        </w:rPr>
        <w:t xml:space="preserve"> - </w:t>
      </w:r>
      <w:proofErr w:type="spellStart"/>
      <w:r w:rsidRPr="00B849B1">
        <w:rPr>
          <w:rFonts w:ascii="Play" w:eastAsia="Play" w:hAnsi="Play" w:cs="Play"/>
          <w:i/>
          <w:iCs/>
          <w:lang w:val="en-001"/>
        </w:rPr>
        <w:t>Biogeosciences</w:t>
      </w:r>
      <w:proofErr w:type="spellEnd"/>
      <w:r w:rsidRPr="00B849B1">
        <w:rPr>
          <w:rFonts w:ascii="Play" w:eastAsia="Play" w:hAnsi="Play" w:cs="Play"/>
          <w:i/>
          <w:iCs/>
          <w:lang w:val="en-001"/>
        </w:rPr>
        <w:t xml:space="preserve"> and Forestry</w:t>
      </w:r>
      <w:r w:rsidRPr="00B849B1">
        <w:rPr>
          <w:rFonts w:ascii="Play" w:eastAsia="Play" w:hAnsi="Play" w:cs="Play"/>
          <w:lang w:val="en-001"/>
        </w:rPr>
        <w:t xml:space="preserve">, </w:t>
      </w:r>
      <w:r w:rsidRPr="00B849B1">
        <w:rPr>
          <w:rFonts w:ascii="Play" w:eastAsia="Play" w:hAnsi="Play" w:cs="Play"/>
          <w:i/>
          <w:iCs/>
          <w:lang w:val="en-001"/>
        </w:rPr>
        <w:t>18</w:t>
      </w:r>
      <w:r w:rsidRPr="00B849B1">
        <w:rPr>
          <w:rFonts w:ascii="Play" w:eastAsia="Play" w:hAnsi="Play" w:cs="Play"/>
          <w:lang w:val="en-001"/>
        </w:rPr>
        <w:t xml:space="preserve">(2), 69. </w:t>
      </w:r>
      <w:hyperlink r:id="rId11" w:history="1">
        <w:r w:rsidRPr="00B849B1">
          <w:rPr>
            <w:rStyle w:val="Hyperlink"/>
            <w:rFonts w:ascii="Play" w:eastAsia="Play" w:hAnsi="Play" w:cs="Play"/>
            <w:lang w:val="en-001"/>
          </w:rPr>
          <w:t>https://doi.org/10.3832/ifor4634-018</w:t>
        </w:r>
      </w:hyperlink>
    </w:p>
    <w:p w14:paraId="472EDCDE" w14:textId="77777777" w:rsidR="007B6C90" w:rsidRDefault="00000000">
      <w:pPr>
        <w:spacing w:before="280" w:after="280"/>
        <w:rPr>
          <w:rFonts w:ascii="Play" w:eastAsia="Play" w:hAnsi="Play" w:cs="Play"/>
        </w:rPr>
      </w:pPr>
      <w:r>
        <w:rPr>
          <w:rFonts w:ascii="Play" w:eastAsia="Play" w:hAnsi="Play" w:cs="Play"/>
        </w:rPr>
        <w:lastRenderedPageBreak/>
        <w:t xml:space="preserve">Malonzo, D., &amp; </w:t>
      </w:r>
      <w:proofErr w:type="spellStart"/>
      <w:r>
        <w:rPr>
          <w:rFonts w:ascii="Play" w:eastAsia="Play" w:hAnsi="Play" w:cs="Play"/>
        </w:rPr>
        <w:t>Orodio</w:t>
      </w:r>
      <w:proofErr w:type="spellEnd"/>
      <w:r>
        <w:rPr>
          <w:rFonts w:ascii="Play" w:eastAsia="Play" w:hAnsi="Play" w:cs="Play"/>
        </w:rPr>
        <w:t>, R. (2025, April 12). Club Trip: PICOP January 2025. Wild Bird Club of the Philippines. https://birdwatch.ph/club-trip-picop-january-2025/ Accessed on 13 November 2025.</w:t>
      </w:r>
    </w:p>
    <w:p w14:paraId="6BDC1D24" w14:textId="77777777" w:rsidR="007B6C90" w:rsidRDefault="00000000">
      <w:pPr>
        <w:spacing w:before="280" w:after="280"/>
        <w:rPr>
          <w:rFonts w:ascii="Play" w:eastAsia="Play" w:hAnsi="Play" w:cs="Play"/>
        </w:rPr>
      </w:pPr>
      <w:r>
        <w:rPr>
          <w:rFonts w:ascii="Play" w:eastAsia="Play" w:hAnsi="Play" w:cs="Play"/>
        </w:rPr>
        <w:t xml:space="preserve">Panopio, J. K., Pajaro, M., Grande, J. M., Dela Torre, M., Raquino, M., &amp; Watts, P. (2021). Conservation Letter: Deforestation—The Philippine Eagle as a case study in developing local management partnerships with Indigenous Peoples. </w:t>
      </w:r>
      <w:r>
        <w:rPr>
          <w:rFonts w:ascii="Play" w:eastAsia="Play" w:hAnsi="Play" w:cs="Play"/>
          <w:i/>
          <w:iCs/>
        </w:rPr>
        <w:t>Journal of Raptor Research, 55</w:t>
      </w:r>
      <w:r>
        <w:rPr>
          <w:rFonts w:ascii="Play" w:eastAsia="Play" w:hAnsi="Play" w:cs="Play"/>
        </w:rPr>
        <w:t>(3), 460–467.</w:t>
      </w:r>
    </w:p>
    <w:p w14:paraId="0BF23E5E" w14:textId="151BA485" w:rsidR="0060723E" w:rsidRDefault="0060723E">
      <w:pPr>
        <w:spacing w:before="280" w:after="280"/>
        <w:rPr>
          <w:rFonts w:ascii="Play" w:eastAsia="Play" w:hAnsi="Play" w:cs="Play"/>
        </w:rPr>
      </w:pPr>
      <w:r>
        <w:rPr>
          <w:rFonts w:ascii="Play" w:eastAsia="Play" w:hAnsi="Play" w:cs="Play"/>
        </w:rPr>
        <w:t xml:space="preserve">Perplexity (2025a). Report on Forest Loss. </w:t>
      </w:r>
      <w:hyperlink r:id="rId12" w:history="1">
        <w:r w:rsidR="0050337F" w:rsidRPr="00574F66">
          <w:rPr>
            <w:rStyle w:val="Hyperlink"/>
            <w:rFonts w:ascii="Play" w:eastAsia="Play" w:hAnsi="Play" w:cs="Play"/>
          </w:rPr>
          <w:t>https://www.perplexity.ai/search/provide-me-with-a-brief-report-qRgulFpPTPC3nqpj59eZQg</w:t>
        </w:r>
      </w:hyperlink>
      <w:r w:rsidR="0050337F">
        <w:rPr>
          <w:rFonts w:ascii="Play" w:eastAsia="Play" w:hAnsi="Play" w:cs="Play"/>
        </w:rPr>
        <w:t xml:space="preserve">. </w:t>
      </w:r>
      <w:r w:rsidR="0050337F">
        <w:rPr>
          <w:rFonts w:ascii="Play" w:eastAsia="Play" w:hAnsi="Play" w:cs="Play"/>
        </w:rPr>
        <w:t>Assessed on 25 November 2025.</w:t>
      </w:r>
    </w:p>
    <w:p w14:paraId="702794EF" w14:textId="6D84D70C" w:rsidR="0060723E" w:rsidRDefault="0060723E">
      <w:pPr>
        <w:spacing w:before="280" w:after="280"/>
        <w:rPr>
          <w:rFonts w:ascii="Play" w:eastAsia="Play" w:hAnsi="Play" w:cs="Play"/>
        </w:rPr>
      </w:pPr>
      <w:r>
        <w:rPr>
          <w:rFonts w:ascii="Play" w:eastAsia="Play" w:hAnsi="Play" w:cs="Play"/>
        </w:rPr>
        <w:t xml:space="preserve">Perplexity (2025b). Report on Forest Loss. </w:t>
      </w:r>
      <w:hyperlink r:id="rId13" w:history="1">
        <w:r w:rsidR="0050337F" w:rsidRPr="00574F66">
          <w:rPr>
            <w:rStyle w:val="Hyperlink"/>
            <w:rFonts w:ascii="Play" w:eastAsia="Play" w:hAnsi="Play" w:cs="Play"/>
          </w:rPr>
          <w:t>https://www.perplexity.ai/search/you-are-tasked-with-writing-a-ZvIh2BGQQnGvrKhJBtK9hA</w:t>
        </w:r>
      </w:hyperlink>
      <w:r w:rsidR="0050337F">
        <w:rPr>
          <w:rFonts w:ascii="Play" w:eastAsia="Play" w:hAnsi="Play" w:cs="Play"/>
        </w:rPr>
        <w:t xml:space="preserve">. </w:t>
      </w:r>
      <w:r w:rsidR="0050337F">
        <w:rPr>
          <w:rFonts w:ascii="Play" w:eastAsia="Play" w:hAnsi="Play" w:cs="Play"/>
        </w:rPr>
        <w:t>Assessed on 25 November 2025.</w:t>
      </w:r>
    </w:p>
    <w:p w14:paraId="7656EEE0" w14:textId="77777777" w:rsidR="007B6C90" w:rsidRDefault="00000000">
      <w:pPr>
        <w:spacing w:before="280" w:after="280"/>
        <w:rPr>
          <w:rFonts w:ascii="Play" w:eastAsia="Play" w:hAnsi="Play" w:cs="Play"/>
        </w:rPr>
      </w:pPr>
      <w:r>
        <w:rPr>
          <w:rFonts w:ascii="Play" w:eastAsia="Play" w:hAnsi="Play" w:cs="Play"/>
        </w:rPr>
        <w:t xml:space="preserve">Posa, M. R. C., &amp; Sodhi, N. (2006). Effects of anthropogenic land use on forest birds and butterflies in Subic Bay, Philippines. </w:t>
      </w:r>
      <w:r>
        <w:rPr>
          <w:rFonts w:ascii="Play" w:eastAsia="Play" w:hAnsi="Play" w:cs="Play"/>
          <w:i/>
          <w:iCs/>
        </w:rPr>
        <w:t>Biological Conservation, 129</w:t>
      </w:r>
      <w:r>
        <w:rPr>
          <w:rFonts w:ascii="Play" w:eastAsia="Play" w:hAnsi="Play" w:cs="Play"/>
        </w:rPr>
        <w:t>(2), 256–270. https://doi.org/10.1016/j.biocon.2005.10.041</w:t>
      </w:r>
    </w:p>
    <w:p w14:paraId="001710DF" w14:textId="77777777" w:rsidR="007B6C90" w:rsidRDefault="00000000">
      <w:pPr>
        <w:spacing w:before="280" w:after="280"/>
        <w:rPr>
          <w:rFonts w:ascii="Play" w:eastAsia="Play" w:hAnsi="Play" w:cs="Play"/>
        </w:rPr>
      </w:pPr>
      <w:proofErr w:type="spellStart"/>
      <w:r>
        <w:rPr>
          <w:rFonts w:ascii="Play" w:eastAsia="Play" w:hAnsi="Play" w:cs="Play"/>
        </w:rPr>
        <w:t>Recuenco</w:t>
      </w:r>
      <w:proofErr w:type="spellEnd"/>
      <w:r>
        <w:rPr>
          <w:rFonts w:ascii="Play" w:eastAsia="Play" w:hAnsi="Play" w:cs="Play"/>
        </w:rPr>
        <w:t xml:space="preserve">, A. (2022, November 9). DENR identifies 9M hectares of potential mining areas. </w:t>
      </w:r>
      <w:r>
        <w:rPr>
          <w:rFonts w:ascii="Play" w:eastAsia="Play" w:hAnsi="Play" w:cs="Play"/>
          <w:i/>
          <w:iCs/>
        </w:rPr>
        <w:t>Manila Bulletin</w:t>
      </w:r>
      <w:r>
        <w:rPr>
          <w:rFonts w:ascii="Play" w:eastAsia="Play" w:hAnsi="Play" w:cs="Play"/>
        </w:rPr>
        <w:t>. https://mb.com.ph//2022/11/09/denr-identifies-9m-hectares-of-potential-mining-areas/</w:t>
      </w:r>
    </w:p>
    <w:p w14:paraId="0FEEFA7B" w14:textId="77777777" w:rsidR="007B6C90" w:rsidRDefault="00000000">
      <w:pPr>
        <w:spacing w:before="280" w:after="280"/>
        <w:rPr>
          <w:rFonts w:ascii="Play" w:eastAsia="Play" w:hAnsi="Play" w:cs="Play"/>
        </w:rPr>
      </w:pPr>
      <w:r>
        <w:rPr>
          <w:rFonts w:ascii="Play" w:eastAsia="Play" w:hAnsi="Play" w:cs="Play"/>
        </w:rPr>
        <w:t xml:space="preserve">Robson, C. (2023). Classic Philippines tour report 2023. </w:t>
      </w:r>
      <w:proofErr w:type="spellStart"/>
      <w:r>
        <w:rPr>
          <w:rFonts w:ascii="Play" w:eastAsia="Play" w:hAnsi="Play" w:cs="Play"/>
        </w:rPr>
        <w:t>Birdquest</w:t>
      </w:r>
      <w:proofErr w:type="spellEnd"/>
      <w:r>
        <w:rPr>
          <w:rFonts w:ascii="Play" w:eastAsia="Play" w:hAnsi="Play" w:cs="Play"/>
        </w:rPr>
        <w:t>. https://www.birdquest-tours.com/birding-tours/classic-philippines/tour-report/2023/</w:t>
      </w:r>
    </w:p>
    <w:p w14:paraId="5E0BEE64" w14:textId="77777777" w:rsidR="007B6C90" w:rsidRDefault="00000000">
      <w:pPr>
        <w:spacing w:before="280" w:after="280"/>
        <w:rPr>
          <w:rFonts w:ascii="Play" w:eastAsia="Play" w:hAnsi="Play" w:cs="Play"/>
        </w:rPr>
      </w:pPr>
      <w:r>
        <w:rPr>
          <w:rFonts w:ascii="Play" w:eastAsia="Play" w:hAnsi="Play" w:cs="Play"/>
        </w:rPr>
        <w:t xml:space="preserve">Tabora, J. A. G., Ancog, R. C., Sanchez, P. A. J., Arboleda, M. D. M., Lit, Jr., I. L., &amp; </w:t>
      </w:r>
      <w:proofErr w:type="spellStart"/>
      <w:r>
        <w:rPr>
          <w:rFonts w:ascii="Play" w:eastAsia="Play" w:hAnsi="Play" w:cs="Play"/>
        </w:rPr>
        <w:t>Tiburan</w:t>
      </w:r>
      <w:proofErr w:type="spellEnd"/>
      <w:r>
        <w:rPr>
          <w:rFonts w:ascii="Play" w:eastAsia="Play" w:hAnsi="Play" w:cs="Play"/>
        </w:rPr>
        <w:t xml:space="preserve">, Jr., C. L. (2023). The last stand of a watershed forest in Southern Philippines: A case study of land cover and biodiversity. </w:t>
      </w:r>
      <w:proofErr w:type="spellStart"/>
      <w:r>
        <w:rPr>
          <w:rFonts w:ascii="Play" w:eastAsia="Play" w:hAnsi="Play" w:cs="Play"/>
          <w:i/>
          <w:iCs/>
        </w:rPr>
        <w:t>Biodiversitas</w:t>
      </w:r>
      <w:proofErr w:type="spellEnd"/>
      <w:r>
        <w:rPr>
          <w:rFonts w:ascii="Play" w:eastAsia="Play" w:hAnsi="Play" w:cs="Play"/>
          <w:i/>
          <w:iCs/>
        </w:rPr>
        <w:t>, 24</w:t>
      </w:r>
      <w:r>
        <w:rPr>
          <w:rFonts w:ascii="Play" w:eastAsia="Play" w:hAnsi="Play" w:cs="Play"/>
        </w:rPr>
        <w:t>(3), 1438–1449. https://doi.org/10.13057/biodiv/d240313</w:t>
      </w:r>
    </w:p>
    <w:p w14:paraId="0AC5522F" w14:textId="77777777" w:rsidR="007B6C90" w:rsidRDefault="00000000">
      <w:pPr>
        <w:spacing w:before="280" w:after="280"/>
        <w:rPr>
          <w:rFonts w:ascii="Play" w:eastAsia="Play" w:hAnsi="Play" w:cs="Play"/>
        </w:rPr>
      </w:pPr>
      <w:r>
        <w:rPr>
          <w:rFonts w:ascii="Play" w:eastAsia="Play" w:hAnsi="Play" w:cs="Play"/>
        </w:rPr>
        <w:t>World Resources Institute. (2025). Data &amp; methods. Global Forest Review. https://gfr.wri.org/data-methods. Accessed on 15 November 2025.</w:t>
      </w:r>
    </w:p>
    <w:p w14:paraId="4EEE8CE5" w14:textId="77777777" w:rsidR="007B6C90" w:rsidRDefault="00000000">
      <w:pPr>
        <w:spacing w:before="280" w:after="280"/>
        <w:rPr>
          <w:rFonts w:ascii="Play" w:eastAsia="Play" w:hAnsi="Play" w:cs="Play"/>
        </w:rPr>
      </w:pPr>
      <w:r>
        <w:rPr>
          <w:rFonts w:ascii="Play" w:eastAsia="Play" w:hAnsi="Play" w:cs="Play"/>
        </w:rPr>
        <w:t xml:space="preserve">Yong, D. L., &amp; Low, B. W. (2018). </w:t>
      </w:r>
      <w:r>
        <w:rPr>
          <w:rFonts w:ascii="Play" w:eastAsia="Play" w:hAnsi="Play" w:cs="Play"/>
          <w:i/>
          <w:iCs/>
        </w:rPr>
        <w:t>The 125 best birdwatching sites in Southeast Asia</w:t>
      </w:r>
      <w:r>
        <w:rPr>
          <w:rFonts w:ascii="Play" w:eastAsia="Play" w:hAnsi="Play" w:cs="Play"/>
        </w:rPr>
        <w:t>. John Beaufoy Publishing.</w:t>
      </w:r>
    </w:p>
    <w:p w14:paraId="30A01365" w14:textId="77777777" w:rsidR="007B6C90" w:rsidRDefault="00000000">
      <w:pPr>
        <w:spacing w:before="280" w:after="280"/>
        <w:rPr>
          <w:rFonts w:ascii="Play" w:eastAsia="Play" w:hAnsi="Play" w:cs="Play"/>
        </w:rPr>
      </w:pPr>
      <w:r>
        <w:rPr>
          <w:rFonts w:ascii="Play" w:eastAsia="Play" w:hAnsi="Play" w:cs="Play"/>
        </w:rPr>
        <w:t xml:space="preserve">Zapanta, B. R., </w:t>
      </w:r>
      <w:proofErr w:type="spellStart"/>
      <w:r>
        <w:rPr>
          <w:rFonts w:ascii="Play" w:eastAsia="Play" w:hAnsi="Play" w:cs="Play"/>
        </w:rPr>
        <w:t>Achondo</w:t>
      </w:r>
      <w:proofErr w:type="spellEnd"/>
      <w:r>
        <w:rPr>
          <w:rFonts w:ascii="Play" w:eastAsia="Play" w:hAnsi="Play" w:cs="Play"/>
        </w:rPr>
        <w:t xml:space="preserve">, M. J. M. M., Raganas, A. F. M., Camino, F. A., Delima, A. G. D., </w:t>
      </w:r>
      <w:proofErr w:type="spellStart"/>
      <w:r>
        <w:rPr>
          <w:rFonts w:ascii="Play" w:eastAsia="Play" w:hAnsi="Play" w:cs="Play"/>
        </w:rPr>
        <w:t>Mantiquilla</w:t>
      </w:r>
      <w:proofErr w:type="spellEnd"/>
      <w:r>
        <w:rPr>
          <w:rFonts w:ascii="Play" w:eastAsia="Play" w:hAnsi="Play" w:cs="Play"/>
        </w:rPr>
        <w:t xml:space="preserve">, J. A., </w:t>
      </w:r>
      <w:proofErr w:type="spellStart"/>
      <w:r>
        <w:rPr>
          <w:rFonts w:ascii="Play" w:eastAsia="Play" w:hAnsi="Play" w:cs="Play"/>
        </w:rPr>
        <w:t>Puentespina</w:t>
      </w:r>
      <w:proofErr w:type="spellEnd"/>
      <w:r>
        <w:rPr>
          <w:rFonts w:ascii="Play" w:eastAsia="Play" w:hAnsi="Play" w:cs="Play"/>
        </w:rPr>
        <w:t xml:space="preserve">, Jr. R. P., &amp; </w:t>
      </w:r>
      <w:proofErr w:type="spellStart"/>
      <w:r>
        <w:rPr>
          <w:rFonts w:ascii="Play" w:eastAsia="Play" w:hAnsi="Play" w:cs="Play"/>
        </w:rPr>
        <w:t>Salvaña</w:t>
      </w:r>
      <w:proofErr w:type="spellEnd"/>
      <w:r>
        <w:rPr>
          <w:rFonts w:ascii="Play" w:eastAsia="Play" w:hAnsi="Play" w:cs="Play"/>
        </w:rPr>
        <w:t xml:space="preserve">, F. R. P. (2019). Species richness of trees in disturbed habitats within a protected area and its implications for conservation: The case of Mt. Apo Natural Park, Mindanao Island, Philippines. </w:t>
      </w:r>
      <w:proofErr w:type="spellStart"/>
      <w:r>
        <w:rPr>
          <w:rFonts w:ascii="Play" w:eastAsia="Play" w:hAnsi="Play" w:cs="Play"/>
          <w:i/>
          <w:iCs/>
        </w:rPr>
        <w:t>Biodiversitas</w:t>
      </w:r>
      <w:proofErr w:type="spellEnd"/>
      <w:r>
        <w:rPr>
          <w:rFonts w:ascii="Play" w:eastAsia="Play" w:hAnsi="Play" w:cs="Play"/>
          <w:i/>
          <w:iCs/>
        </w:rPr>
        <w:t>, 20</w:t>
      </w:r>
      <w:r>
        <w:rPr>
          <w:rFonts w:ascii="Play" w:eastAsia="Play" w:hAnsi="Play" w:cs="Play"/>
        </w:rPr>
        <w:t>(7), 2081–2091. https://doi.org/10.13057/biodiv/d200740</w:t>
      </w:r>
    </w:p>
    <w:p w14:paraId="0814DA3E" w14:textId="77777777" w:rsidR="007B6C90" w:rsidRDefault="007B6C90">
      <w:pPr>
        <w:rPr>
          <w:rFonts w:ascii="Play" w:eastAsia="Play" w:hAnsi="Play" w:cs="Play"/>
        </w:rPr>
      </w:pPr>
    </w:p>
    <w:sectPr w:rsidR="007B6C90">
      <w:footerReference w:type="even"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73A5D" w14:textId="77777777" w:rsidR="00986EC6" w:rsidRDefault="00986EC6">
      <w:r>
        <w:separator/>
      </w:r>
    </w:p>
  </w:endnote>
  <w:endnote w:type="continuationSeparator" w:id="0">
    <w:p w14:paraId="3D8159D2" w14:textId="77777777" w:rsidR="00986EC6" w:rsidRDefault="00986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345DCDBA-A4EB-4969-85FB-BBCFBCD09643}"/>
    <w:embedBold r:id="rId2" w:fontKey="{67C8C964-6876-4C50-B2E0-79B37673E67B}"/>
    <w:embedItalic r:id="rId3" w:fontKey="{9B74D978-38B2-42C3-B9BA-20F114011152}"/>
  </w:font>
  <w:font w:name="Play">
    <w:altName w:val="Calibri"/>
    <w:charset w:val="00"/>
    <w:family w:val="auto"/>
    <w:pitch w:val="default"/>
    <w:embedRegular r:id="rId4" w:fontKey="{9964B821-9FE5-41AE-841A-45C23E911CB4}"/>
    <w:embedBold r:id="rId5" w:fontKey="{A8C8F991-B22B-4D14-BCDF-66A923C298BE}"/>
    <w:embedItalic r:id="rId6" w:fontKey="{CE84EF9E-2070-416F-84E3-012A8C61AE81}"/>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7" w:fontKey="{DE44BBA5-4D53-40DA-9A3F-0C7D9AC04586}"/>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652E" w14:textId="77777777" w:rsidR="007B6C90"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C10855B" w14:textId="77777777" w:rsidR="007B6C90" w:rsidRDefault="007B6C90">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A5981" w14:textId="77777777" w:rsidR="007B6C90"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D646B1">
      <w:rPr>
        <w:noProof/>
        <w:color w:val="000000"/>
      </w:rPr>
      <w:t>1</w:t>
    </w:r>
    <w:r>
      <w:rPr>
        <w:color w:val="000000"/>
      </w:rPr>
      <w:fldChar w:fldCharType="end"/>
    </w:r>
  </w:p>
  <w:p w14:paraId="33289024" w14:textId="77777777" w:rsidR="007B6C90" w:rsidRDefault="007B6C90">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68C9B" w14:textId="77777777" w:rsidR="00986EC6" w:rsidRDefault="00986EC6">
      <w:r>
        <w:separator/>
      </w:r>
    </w:p>
  </w:footnote>
  <w:footnote w:type="continuationSeparator" w:id="0">
    <w:p w14:paraId="7D21E993" w14:textId="77777777" w:rsidR="00986EC6" w:rsidRDefault="00986E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C90"/>
    <w:rsid w:val="001F40B0"/>
    <w:rsid w:val="002D6ADA"/>
    <w:rsid w:val="0050337F"/>
    <w:rsid w:val="005D78B7"/>
    <w:rsid w:val="0060723E"/>
    <w:rsid w:val="0061672A"/>
    <w:rsid w:val="007578C6"/>
    <w:rsid w:val="007B6C90"/>
    <w:rsid w:val="009440AE"/>
    <w:rsid w:val="00986EC6"/>
    <w:rsid w:val="00B849B1"/>
    <w:rsid w:val="00CA74BF"/>
    <w:rsid w:val="00D646B1"/>
    <w:rsid w:val="00D902D9"/>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E7E8"/>
  <w15:docId w15:val="{48D4A531-85E6-460A-9205-C011AEE60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001"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E71F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F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F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E71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1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FFE"/>
    <w:rPr>
      <w:rFonts w:eastAsiaTheme="majorEastAsia" w:cstheme="majorBidi"/>
      <w:color w:val="272727" w:themeColor="text1" w:themeTint="D8"/>
    </w:rPr>
  </w:style>
  <w:style w:type="character" w:customStyle="1" w:styleId="TitleChar">
    <w:name w:val="Title Char"/>
    <w:basedOn w:val="DefaultParagraphFont"/>
    <w:link w:val="Title"/>
    <w:uiPriority w:val="10"/>
    <w:rsid w:val="00E71FF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71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F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1FFE"/>
    <w:rPr>
      <w:i/>
      <w:iCs/>
      <w:color w:val="404040" w:themeColor="text1" w:themeTint="BF"/>
    </w:rPr>
  </w:style>
  <w:style w:type="paragraph" w:styleId="ListParagraph">
    <w:name w:val="List Paragraph"/>
    <w:basedOn w:val="Normal"/>
    <w:uiPriority w:val="34"/>
    <w:qFormat/>
    <w:rsid w:val="00E71FFE"/>
    <w:pPr>
      <w:ind w:left="720"/>
      <w:contextualSpacing/>
    </w:pPr>
  </w:style>
  <w:style w:type="character" w:styleId="IntenseEmphasis">
    <w:name w:val="Intense Emphasis"/>
    <w:basedOn w:val="DefaultParagraphFont"/>
    <w:uiPriority w:val="21"/>
    <w:qFormat/>
    <w:rsid w:val="00E71FFE"/>
    <w:rPr>
      <w:i/>
      <w:iCs/>
      <w:color w:val="0F4761" w:themeColor="accent1" w:themeShade="BF"/>
    </w:rPr>
  </w:style>
  <w:style w:type="paragraph" w:styleId="IntenseQuote">
    <w:name w:val="Intense Quote"/>
    <w:basedOn w:val="Normal"/>
    <w:next w:val="Normal"/>
    <w:link w:val="IntenseQuoteChar"/>
    <w:uiPriority w:val="30"/>
    <w:qFormat/>
    <w:rsid w:val="00E71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FFE"/>
    <w:rPr>
      <w:i/>
      <w:iCs/>
      <w:color w:val="0F4761" w:themeColor="accent1" w:themeShade="BF"/>
    </w:rPr>
  </w:style>
  <w:style w:type="character" w:styleId="IntenseReference">
    <w:name w:val="Intense Reference"/>
    <w:basedOn w:val="DefaultParagraphFont"/>
    <w:uiPriority w:val="32"/>
    <w:qFormat/>
    <w:rsid w:val="00E71FFE"/>
    <w:rPr>
      <w:b/>
      <w:bCs/>
      <w:smallCaps/>
      <w:color w:val="0F4761" w:themeColor="accent1" w:themeShade="BF"/>
      <w:spacing w:val="5"/>
    </w:rPr>
  </w:style>
  <w:style w:type="paragraph" w:styleId="NormalWeb">
    <w:name w:val="Normal (Web)"/>
    <w:basedOn w:val="Normal"/>
    <w:uiPriority w:val="99"/>
    <w:semiHidden/>
    <w:unhideWhenUsed/>
    <w:rsid w:val="00E71FFE"/>
    <w:pPr>
      <w:spacing w:before="100" w:beforeAutospacing="1" w:after="100" w:afterAutospacing="1"/>
      <w:jc w:val="left"/>
    </w:pPr>
    <w:rPr>
      <w:rFonts w:ascii="Times New Roman" w:eastAsia="Times New Roman" w:hAnsi="Times New Roman" w:cs="Times New Roman"/>
    </w:rPr>
  </w:style>
  <w:style w:type="character" w:styleId="HTMLCode">
    <w:name w:val="HTML Code"/>
    <w:basedOn w:val="DefaultParagraphFont"/>
    <w:uiPriority w:val="99"/>
    <w:semiHidden/>
    <w:unhideWhenUsed/>
    <w:rsid w:val="00E71FFE"/>
    <w:rPr>
      <w:rFonts w:ascii="Courier New" w:eastAsia="Times New Roman" w:hAnsi="Courier New" w:cs="Courier New"/>
      <w:sz w:val="20"/>
      <w:szCs w:val="20"/>
    </w:rPr>
  </w:style>
  <w:style w:type="paragraph" w:styleId="Footer">
    <w:name w:val="footer"/>
    <w:basedOn w:val="Normal"/>
    <w:link w:val="FooterChar"/>
    <w:uiPriority w:val="99"/>
    <w:unhideWhenUsed/>
    <w:rsid w:val="00E71FFE"/>
    <w:pPr>
      <w:tabs>
        <w:tab w:val="center" w:pos="4680"/>
        <w:tab w:val="right" w:pos="9360"/>
      </w:tabs>
    </w:pPr>
  </w:style>
  <w:style w:type="character" w:customStyle="1" w:styleId="FooterChar">
    <w:name w:val="Footer Char"/>
    <w:basedOn w:val="DefaultParagraphFont"/>
    <w:link w:val="Footer"/>
    <w:uiPriority w:val="99"/>
    <w:rsid w:val="00E71FFE"/>
  </w:style>
  <w:style w:type="character" w:styleId="PageNumber">
    <w:name w:val="page number"/>
    <w:basedOn w:val="DefaultParagraphFont"/>
    <w:uiPriority w:val="99"/>
    <w:semiHidden/>
    <w:unhideWhenUsed/>
    <w:rsid w:val="00E71FFE"/>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character" w:styleId="Hyperlink">
    <w:name w:val="Hyperlink"/>
    <w:basedOn w:val="DefaultParagraphFont"/>
    <w:uiPriority w:val="99"/>
    <w:unhideWhenUsed/>
    <w:rsid w:val="00B849B1"/>
    <w:rPr>
      <w:color w:val="467886" w:themeColor="hyperlink"/>
      <w:u w:val="single"/>
    </w:rPr>
  </w:style>
  <w:style w:type="character" w:styleId="UnresolvedMention">
    <w:name w:val="Unresolved Mention"/>
    <w:basedOn w:val="DefaultParagraphFont"/>
    <w:uiPriority w:val="99"/>
    <w:semiHidden/>
    <w:unhideWhenUsed/>
    <w:rsid w:val="00B84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irdtourasia.com/philippines2027" TargetMode="External"/><Relationship Id="rId13" Type="http://schemas.openxmlformats.org/officeDocument/2006/relationships/hyperlink" Target="https://www.perplexity.ai/search/you-are-tasked-with-writing-a-ZvIh2BGQQnGvrKhJBtK9h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perplexity.ai/search/provide-me-with-a-brief-report-qRgulFpPTPC3nqpj59eZQ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3832/ifor4634-018"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forestdeclaration.org/resources/forest-declaration-assessment-2025" TargetMode="External"/><Relationship Id="rId4" Type="http://schemas.openxmlformats.org/officeDocument/2006/relationships/webSettings" Target="webSettings.xml"/><Relationship Id="rId9" Type="http://schemas.openxmlformats.org/officeDocument/2006/relationships/hyperlink" Target="https://doi.org/10.1038/s41586-024-07629-0"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SJAcSYxhH/zeHUT9EMfFxYweSA==">CgMxLjA4AHIhMV9Kam1Nb2lPYVBkaEJDNG5xeXRRdFI3NzVKeXhJSUF6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8</Pages>
  <Words>2677</Words>
  <Characters>15259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Geoff Lim</dc:creator>
  <cp:lastModifiedBy>#GEOFFREY LIM CHUAN TAT#</cp:lastModifiedBy>
  <cp:revision>4</cp:revision>
  <dcterms:created xsi:type="dcterms:W3CDTF">2025-11-25T06:23:00Z</dcterms:created>
  <dcterms:modified xsi:type="dcterms:W3CDTF">2025-11-25T08:54:00Z</dcterms:modified>
</cp:coreProperties>
</file>