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Technical proposal: Northwind Data Ltd</w:t>
      </w:r>
    </w:p>
    <w:p>
      <w:r>
        <w:t xml:space="preserve">Our approach builds the generator as a small service in your developer portal. Every scenario is a version-controlled recipe that produces realistic, anonymised customers, orders and payment methods in staging within a minute.</w:t>
      </w:r>
    </w:p>
    <w:p>
      <w:r>
        <w:t xml:space="preserve">Data never leaves your environment: the generator runs in your cluster, holds no production data and is covered by our ISO 27001 certification.</w:t>
      </w:r>
    </w:p>
    <w:p>
      <w:r>
        <w:t xml:space="preserve">Requirements coverage: we meet all 14 requirements in the specification and attach a traceability matrix. A working prototype is available for a demo.</w:t>
      </w:r>
    </w:p>
    <w:p>
      <w:r>
        <w:t xml:space="preserve">Delivery plan: discovery and design in weeks 1-3, build in weeks 4-13, hand-over and training in week 14. We need a named product owner for two hours a week.</w:t>
      </w:r>
    </w:p>
    <w:p>
      <w:r>
        <w:t xml:space="preserve">Team: a lead engineer and two developers who built a similar generator for a national retailer in 2025; references available on request.</w:t>
      </w:r>
    </w:p>
  </w:body>
</w:document>
</file>