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Geoff Schackmann</w:t>
      </w:r>
    </w:p>
    <w:p>
      <w:r>
        <w:rPr>
          <w:b/>
        </w:rPr>
        <w:t xml:space="preserve">Company Title:  </w:t>
      </w:r>
      <w:r>
        <w:t>Managing Member (34.8% via Adeline &amp; Lilah, LLC)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Multi-hospice operator and transaction-led growth leader with operational responsibility for Medicare-certified hospice and palliative-care agencies across multiple states. Sole member of Adeline &amp; Lilah, LLC (AZ), the holding entity through which equity in Tyler Hospice Hold LLC is held. Leads transaction structuring, financing, capital allocation, and post-close integration.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Multi-state hospice 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Owner / Operator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Operational responsibility for Medicare-certified hospice and palliative-care agencies across multiple states; change-of-ownership (CHOW) transactions and post-CHOW enrollment oversight; census growth from sub-30 to 100+ ADC under existing Medicare provider numbers; multi-site clinical operations under Texas HCSSA and Oregon hospice licensure; CHAP and Joint Commission accreditation; acquisition due diligence (clinical, financial, regulatory); lender and investor relationships across SBA 7(a), conventional, mezzanine, and convertible-note structures.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