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 w:val="0"/>
          <w:i w:val="0"/>
          <w:sz w:val="21"/>
        </w:rPr>
        <w:t xml:space="preserve">  - Avant Hospice LLC employee count (affiliate disclosure)</w:t>
      </w:r>
    </w:p>
    <w:p>
      <w:r>
        <w:rPr>
          <w:b/>
          <w:color w:val="1F3864"/>
          <w:sz w:val="23"/>
        </w:rPr>
        <w:t>B. For each owner of 20% or more (Geoff Schackmann via Adeline &amp; Lilah; confirm others)</w:t>
      </w:r>
    </w:p>
    <w:p>
      <w:r>
        <w:rPr>
          <w:b w:val="0"/>
          <w:i/>
          <w:sz w:val="18"/>
        </w:rPr>
        <w:t>Note: each 20%+ owner needs items below. Bullard is debt-only pre-conversion (&lt;20%), so likely excluded for now - confirm with John Hart.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Two months of bank / brokerage statements showing the equity injection source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Executed Hickory seller note ($300,000, 36 months, 6%) and security documentation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 w:val="0"/>
          <w:i w:val="0"/>
          <w:sz w:val="21"/>
        </w:rPr>
        <w:t xml:space="preserve">  - Avant Hospice LLC: tax returns, interim financials, debt schedule (affiliate package)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Confirm whether James Bullard needs a PFS/tax returns now (debt-only, &lt;20% pre-conversion)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