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0"/>
        </w:rPr>
        <w:t>AZALEA HOSPICE &amp; PALLIATIVE CARE</w:t>
      </w:r>
    </w:p>
    <w:p>
      <w:r>
        <w:rPr>
          <w:b/>
          <w:i w:val="0"/>
          <w:color w:val="1F3864"/>
          <w:sz w:val="26"/>
        </w:rPr>
        <w:t>Business Plan - SBA 7(a) Application</w:t>
      </w:r>
    </w:p>
    <w:p>
      <w:r>
        <w:rPr>
          <w:b w:val="0"/>
          <w:i w:val="0"/>
          <w:color w:val="606060"/>
          <w:sz w:val="20"/>
        </w:rPr>
        <w:t>Tyler Hospice HoldCo L.L.C., operating as Azalea Hospice &amp; Palliative Care</w:t>
      </w:r>
    </w:p>
    <w:p>
      <w:r>
        <w:rPr>
          <w:b w:val="0"/>
          <w:i w:val="0"/>
          <w:color w:val="606060"/>
          <w:sz w:val="18"/>
        </w:rPr>
        <w:t>dba Azalea Hospice &amp; Palliative Care - EIN 41-4966640 - Wyoming holding company operating Hickory Hospice LLC (Texas)</w:t>
      </w:r>
    </w:p>
    <w:p>
      <w:r>
        <w:rPr>
          <w:b w:val="0"/>
          <w:i/>
          <w:color w:val="606060"/>
          <w:sz w:val="18"/>
        </w:rPr>
        <w:t>Rev. 5.00 - June 2026  (supersedes Rev 4.00 dated 2026-06-02; financials reconciled to the current operating model and capital structure updated)</w:t>
      </w:r>
    </w:p>
    <w:p>
      <w:r>
        <w:rPr>
          <w:b w:val="0"/>
          <w:i w:val="0"/>
          <w:sz w:val="21"/>
        </w:rPr>
      </w:r>
    </w:p>
    <w:p>
      <w:r>
        <w:rPr>
          <w:b w:val="0"/>
          <w:i w:val="0"/>
          <w:sz w:val="21"/>
        </w:rPr>
        <w:t>Acquisition and relaunch of Hickory Hospice LLC - an established, Medicare-certified hospice - as Azalea Hospice &amp; Palliative Care, led by an experienced East-Texas clinical team with an established patient panel and modeled on validated local economics.</w:t>
      </w:r>
    </w:p>
    <w:p>
      <w:r>
        <w:rPr>
          <w:b w:val="0"/>
          <w:i w:val="0"/>
          <w:sz w:val="21"/>
        </w:rPr>
      </w:r>
    </w:p>
    <w:p>
      <w:r>
        <w:rPr>
          <w:b/>
          <w:color w:val="1F3864"/>
          <w:sz w:val="23"/>
        </w:rPr>
        <w:t>Headline metrics</w:t>
      </w:r>
    </w:p>
    <w:tbl>
      <w:tblPr>
        <w:tblStyle w:val="LightGrid-Accent1"/>
        <w:tblW w:type="auto" w:w="0"/>
        <w:jc w:val="left"/>
        <w:tblLook w:firstColumn="1" w:firstRow="1" w:lastColumn="0" w:lastRow="0" w:noHBand="0" w:noVBand="1" w:val="04A0"/>
      </w:tblPr>
      <w:tblGrid>
        <w:gridCol w:w="2880"/>
        <w:gridCol w:w="2880"/>
        <w:gridCol w:w="2880"/>
      </w:tblGrid>
      <w:tr>
        <w:tc>
          <w:tcPr>
            <w:tcW w:type="dxa" w:w="2304"/>
          </w:tcPr>
          <w:p>
            <w:r/>
            <w:r>
              <w:rPr>
                <w:b/>
                <w:sz w:val="19"/>
              </w:rPr>
              <w:t>Metric</w:t>
            </w:r>
          </w:p>
        </w:tc>
        <w:tc>
          <w:tcPr>
            <w:tcW w:type="dxa" w:w="1872"/>
          </w:tcPr>
          <w:p>
            <w:r/>
            <w:r>
              <w:rPr>
                <w:b/>
                <w:sz w:val="19"/>
              </w:rPr>
              <w:t>Value</w:t>
            </w:r>
          </w:p>
        </w:tc>
        <w:tc>
          <w:tcPr>
            <w:tcW w:type="dxa" w:w="5184"/>
          </w:tcPr>
          <w:p>
            <w:r/>
            <w:r>
              <w:rPr>
                <w:b/>
                <w:sz w:val="19"/>
              </w:rPr>
              <w:t>Detail</w:t>
            </w:r>
          </w:p>
        </w:tc>
      </w:tr>
      <w:tr>
        <w:tc>
          <w:tcPr>
            <w:tcW w:type="dxa" w:w="2304"/>
          </w:tcPr>
          <w:p>
            <w:r/>
            <w:r>
              <w:rPr>
                <w:sz w:val="19"/>
              </w:rPr>
              <w:t>Loan request</w:t>
            </w:r>
          </w:p>
        </w:tc>
        <w:tc>
          <w:tcPr>
            <w:tcW w:type="dxa" w:w="1872"/>
          </w:tcPr>
          <w:p>
            <w:r/>
            <w:r>
              <w:rPr>
                <w:sz w:val="19"/>
              </w:rPr>
              <w:t>$555,000</w:t>
            </w:r>
          </w:p>
        </w:tc>
        <w:tc>
          <w:tcPr>
            <w:tcW w:type="dxa" w:w="5184"/>
          </w:tcPr>
          <w:p>
            <w:r/>
            <w:r>
              <w:rPr>
                <w:sz w:val="19"/>
              </w:rPr>
              <w:t>SBA 7(a) - 10-yr term</w:t>
            </w:r>
          </w:p>
        </w:tc>
      </w:tr>
      <w:tr>
        <w:tc>
          <w:tcPr>
            <w:tcW w:type="dxa" w:w="2304"/>
          </w:tcPr>
          <w:p>
            <w:r/>
            <w:r>
              <w:rPr>
                <w:sz w:val="19"/>
              </w:rPr>
              <w:t>Total project</w:t>
            </w:r>
          </w:p>
        </w:tc>
        <w:tc>
          <w:tcPr>
            <w:tcW w:type="dxa" w:w="1872"/>
          </w:tcPr>
          <w:p>
            <w:r/>
            <w:r>
              <w:rPr>
                <w:sz w:val="19"/>
              </w:rPr>
              <w:t>$750K</w:t>
            </w:r>
          </w:p>
        </w:tc>
        <w:tc>
          <w:tcPr>
            <w:tcW w:type="dxa" w:w="5184"/>
          </w:tcPr>
          <w:p>
            <w:r/>
            <w:r>
              <w:rPr>
                <w:sz w:val="19"/>
              </w:rPr>
              <w:t>$555K SBA + $195K equity; seller paid in full at close</w:t>
            </w:r>
          </w:p>
        </w:tc>
      </w:tr>
      <w:tr>
        <w:tc>
          <w:tcPr>
            <w:tcW w:type="dxa" w:w="2304"/>
          </w:tcPr>
          <w:p>
            <w:r/>
            <w:r>
              <w:rPr>
                <w:sz w:val="19"/>
              </w:rPr>
              <w:t>Year-1 EBITDA</w:t>
            </w:r>
          </w:p>
        </w:tc>
        <w:tc>
          <w:tcPr>
            <w:tcW w:type="dxa" w:w="1872"/>
          </w:tcPr>
          <w:p>
            <w:r/>
            <w:r>
              <w:rPr>
                <w:sz w:val="19"/>
              </w:rPr>
              <w:t>$302,522</w:t>
            </w:r>
          </w:p>
        </w:tc>
        <w:tc>
          <w:tcPr>
            <w:tcW w:type="dxa" w:w="5184"/>
          </w:tcPr>
          <w:p>
            <w:r/>
            <w:r>
              <w:rPr>
                <w:sz w:val="19"/>
              </w:rPr>
              <w:t>21.0% margin - growing to $1.01M by Year 3</w:t>
            </w:r>
          </w:p>
        </w:tc>
      </w:tr>
      <w:tr>
        <w:tc>
          <w:tcPr>
            <w:tcW w:type="dxa" w:w="2304"/>
          </w:tcPr>
          <w:p>
            <w:r/>
            <w:r>
              <w:rPr>
                <w:sz w:val="19"/>
              </w:rPr>
              <w:t>Global DSCR (SBA-only)</w:t>
            </w:r>
          </w:p>
        </w:tc>
        <w:tc>
          <w:tcPr>
            <w:tcW w:type="dxa" w:w="1872"/>
          </w:tcPr>
          <w:p>
            <w:r/>
            <w:r>
              <w:rPr>
                <w:sz w:val="19"/>
              </w:rPr>
              <w:t>7.08x</w:t>
            </w:r>
          </w:p>
        </w:tc>
        <w:tc>
          <w:tcPr>
            <w:tcW w:type="dxa" w:w="5184"/>
          </w:tcPr>
          <w:p>
            <w:r/>
            <w:r>
              <w:rPr>
                <w:sz w:val="19"/>
              </w:rPr>
              <w:t>3-yr - floor 1.25x</w:t>
            </w:r>
          </w:p>
        </w:tc>
      </w:tr>
      <w:tr>
        <w:tc>
          <w:tcPr>
            <w:tcW w:type="dxa" w:w="2304"/>
          </w:tcPr>
          <w:p>
            <w:r/>
            <w:r>
              <w:rPr>
                <w:sz w:val="19"/>
              </w:rPr>
              <w:t>Equity injection</w:t>
            </w:r>
          </w:p>
        </w:tc>
        <w:tc>
          <w:tcPr>
            <w:tcW w:type="dxa" w:w="1872"/>
          </w:tcPr>
          <w:p>
            <w:r/>
            <w:r>
              <w:rPr>
                <w:sz w:val="19"/>
              </w:rPr>
              <w:t>$195,000</w:t>
            </w:r>
          </w:p>
        </w:tc>
        <w:tc>
          <w:tcPr>
            <w:tcW w:type="dxa" w:w="5184"/>
          </w:tcPr>
          <w:p>
            <w:r/>
            <w:r>
              <w:rPr>
                <w:sz w:val="19"/>
              </w:rPr>
              <w:t>26.0% of project - 2.6x the 10% SOP 50 10 8 minimum</w:t>
            </w:r>
          </w:p>
        </w:tc>
      </w:tr>
    </w:tbl>
    <w:p>
      <w:r>
        <w:rPr>
          <w:b w:val="0"/>
          <w:i/>
          <w:color w:val="606060"/>
          <w:sz w:val="16"/>
        </w:rPr>
        <w:t>Confidential - prepared exclusively for the SBA 7(a) loan application. All figures are computed from the Azalea Hospice SBA Loan Package operating model. Do not distribute without written consent.</w:t>
      </w:r>
    </w:p>
    <w:p>
      <w:r>
        <w:br w:type="page"/>
      </w:r>
    </w:p>
    <w:p>
      <w:r>
        <w:rPr>
          <w:b/>
          <w:color w:val="1F3864"/>
          <w:sz w:val="30"/>
        </w:rPr>
        <w:t>01 - Executive Summary</w:t>
      </w:r>
    </w:p>
    <w:p>
      <w:r>
        <w:rPr>
          <w:b/>
          <w:color w:val="1F3864"/>
          <w:sz w:val="23"/>
        </w:rPr>
        <w:t>Loan request</w:t>
      </w:r>
    </w:p>
    <w:p>
      <w:r>
        <w:rPr>
          <w:b w:val="0"/>
          <w:i w:val="0"/>
          <w:sz w:val="21"/>
        </w:rPr>
        <w:t>Tyler Hospice Hold, LLC requests a $555,000 SBA 7(a) loan to acquire and relaunch Hickory Hospice LLC - an established, Medicare-certified hospice - as Azalea Hospice &amp; Palliative Care. The agency's existing Medicare-certified provider number is acquired through a change of ownership (CHOW) for $300,000 paid in full at close from SBA proceeds and the equity injection - no retained seller note - giving Azalea immediate, billing-ready capability with no new-enrollment delay. The loan is paired with a $195,000 cash equity injection, for a total project of $750,000. Because the seller is paid at close, the SBA loan is the only debt the business carries.</w:t>
      </w:r>
    </w:p>
    <w:p>
      <w:r>
        <w:rPr>
          <w:b/>
          <w:color w:val="1F3864"/>
          <w:sz w:val="23"/>
        </w:rPr>
        <w:t>Use of funds</w:t>
      </w:r>
    </w:p>
    <w:tbl>
      <w:tblPr>
        <w:tblStyle w:val="LightGrid-Accent1"/>
        <w:tblW w:type="auto" w:w="0"/>
        <w:jc w:val="left"/>
        <w:tblLook w:firstColumn="1" w:firstRow="1" w:lastColumn="0" w:lastRow="0" w:noHBand="0" w:noVBand="1" w:val="04A0"/>
      </w:tblPr>
      <w:tblGrid>
        <w:gridCol w:w="2880"/>
        <w:gridCol w:w="2880"/>
        <w:gridCol w:w="2880"/>
      </w:tblGrid>
      <w:tr>
        <w:tc>
          <w:tcPr>
            <w:tcW w:type="dxa" w:w="3600"/>
          </w:tcPr>
          <w:p>
            <w:r/>
            <w:r>
              <w:rPr>
                <w:b/>
                <w:sz w:val="19"/>
              </w:rPr>
              <w:t>Use</w:t>
            </w:r>
          </w:p>
        </w:tc>
        <w:tc>
          <w:tcPr>
            <w:tcW w:type="dxa" w:w="1584"/>
          </w:tcPr>
          <w:p>
            <w:r/>
            <w:r>
              <w:rPr>
                <w:b/>
                <w:sz w:val="19"/>
              </w:rPr>
              <w:t>Amount</w:t>
            </w:r>
          </w:p>
        </w:tc>
        <w:tc>
          <w:tcPr>
            <w:tcW w:type="dxa" w:w="4176"/>
          </w:tcPr>
          <w:p>
            <w:r/>
            <w:r>
              <w:rPr>
                <w:b/>
                <w:sz w:val="19"/>
              </w:rPr>
              <w:t>Detail</w:t>
            </w:r>
          </w:p>
        </w:tc>
      </w:tr>
      <w:tr>
        <w:tc>
          <w:tcPr>
            <w:tcW w:type="dxa" w:w="3600"/>
          </w:tcPr>
          <w:p>
            <w:r/>
            <w:r>
              <w:rPr>
                <w:sz w:val="19"/>
              </w:rPr>
              <w:t>Acquisition of Hickory (paid at close)</w:t>
            </w:r>
          </w:p>
        </w:tc>
        <w:tc>
          <w:tcPr>
            <w:tcW w:type="dxa" w:w="1584"/>
          </w:tcPr>
          <w:p>
            <w:r/>
            <w:r>
              <w:rPr>
                <w:sz w:val="19"/>
              </w:rPr>
              <w:t>$300,000</w:t>
            </w:r>
          </w:p>
        </w:tc>
        <w:tc>
          <w:tcPr>
            <w:tcW w:type="dxa" w:w="4176"/>
          </w:tcPr>
          <w:p>
            <w:r/>
            <w:r>
              <w:rPr>
                <w:sz w:val="19"/>
              </w:rPr>
              <w:t>100% membership interests; provider number / license / accreditation transfer in the CHOW</w:t>
            </w:r>
          </w:p>
        </w:tc>
      </w:tr>
      <w:tr>
        <w:tc>
          <w:tcPr>
            <w:tcW w:type="dxa" w:w="3600"/>
          </w:tcPr>
          <w:p>
            <w:r/>
            <w:r>
              <w:rPr>
                <w:sz w:val="19"/>
              </w:rPr>
              <w:t>Startup one-time costs</w:t>
            </w:r>
          </w:p>
        </w:tc>
        <w:tc>
          <w:tcPr>
            <w:tcW w:type="dxa" w:w="1584"/>
          </w:tcPr>
          <w:p>
            <w:r/>
            <w:r>
              <w:rPr>
                <w:sz w:val="19"/>
              </w:rPr>
              <w:t>$63,000</w:t>
            </w:r>
          </w:p>
        </w:tc>
        <w:tc>
          <w:tcPr>
            <w:tcW w:type="dxa" w:w="4176"/>
          </w:tcPr>
          <w:p>
            <w:r/>
            <w:r>
              <w:rPr>
                <w:sz w:val="19"/>
              </w:rPr>
              <w:t>855A filing, TX licensure, EMR, supply stock, legal, contingency</w:t>
            </w:r>
          </w:p>
        </w:tc>
      </w:tr>
      <w:tr>
        <w:tc>
          <w:tcPr>
            <w:tcW w:type="dxa" w:w="3600"/>
          </w:tcPr>
          <w:p>
            <w:r/>
            <w:r>
              <w:rPr>
                <w:sz w:val="19"/>
              </w:rPr>
              <w:t>Startup equipment (capex)</w:t>
            </w:r>
          </w:p>
        </w:tc>
        <w:tc>
          <w:tcPr>
            <w:tcW w:type="dxa" w:w="1584"/>
          </w:tcPr>
          <w:p>
            <w:r/>
            <w:r>
              <w:rPr>
                <w:sz w:val="19"/>
              </w:rPr>
              <w:t>$15,000</w:t>
            </w:r>
          </w:p>
        </w:tc>
        <w:tc>
          <w:tcPr>
            <w:tcW w:type="dxa" w:w="4176"/>
          </w:tcPr>
          <w:p>
            <w:r/>
            <w:r>
              <w:rPr>
                <w:sz w:val="19"/>
              </w:rPr>
              <w:t>Computers, office furniture; 5-yr straight-line depreciation</w:t>
            </w:r>
          </w:p>
        </w:tc>
      </w:tr>
      <w:tr>
        <w:tc>
          <w:tcPr>
            <w:tcW w:type="dxa" w:w="3600"/>
          </w:tcPr>
          <w:p>
            <w:r/>
            <w:r>
              <w:rPr>
                <w:sz w:val="19"/>
              </w:rPr>
              <w:t>Working-capital reserve (opening cash)</w:t>
            </w:r>
          </w:p>
        </w:tc>
        <w:tc>
          <w:tcPr>
            <w:tcW w:type="dxa" w:w="1584"/>
          </w:tcPr>
          <w:p>
            <w:r/>
            <w:r>
              <w:rPr>
                <w:sz w:val="19"/>
              </w:rPr>
              <w:t>$372,000</w:t>
            </w:r>
          </w:p>
        </w:tc>
        <w:tc>
          <w:tcPr>
            <w:tcW w:type="dxa" w:w="4176"/>
          </w:tcPr>
          <w:p>
            <w:r/>
            <w:r>
              <w:rPr>
                <w:sz w:val="19"/>
              </w:rPr>
              <w:t>Funds ramp payroll and SBA debt service; holds the $25K floor</w:t>
            </w:r>
          </w:p>
        </w:tc>
      </w:tr>
      <w:tr>
        <w:tc>
          <w:tcPr>
            <w:tcW w:type="dxa" w:w="3600"/>
          </w:tcPr>
          <w:p>
            <w:r/>
            <w:r>
              <w:rPr>
                <w:sz w:val="19"/>
              </w:rPr>
              <w:t>Total uses</w:t>
            </w:r>
          </w:p>
        </w:tc>
        <w:tc>
          <w:tcPr>
            <w:tcW w:type="dxa" w:w="1584"/>
          </w:tcPr>
          <w:p>
            <w:r/>
            <w:r>
              <w:rPr>
                <w:sz w:val="19"/>
              </w:rPr>
              <w:t>$750,000</w:t>
            </w:r>
          </w:p>
        </w:tc>
        <w:tc>
          <w:tcPr>
            <w:tcW w:type="dxa" w:w="4176"/>
          </w:tcPr>
          <w:p>
            <w:r/>
            <w:r>
              <w:rPr>
                <w:sz w:val="19"/>
              </w:rPr>
              <w:t>Funded by SBA $555K + Equity $195K</w:t>
            </w:r>
          </w:p>
        </w:tc>
      </w:tr>
    </w:tbl>
    <w:p>
      <w:r>
        <w:rPr>
          <w:b/>
          <w:color w:val="1F3864"/>
          <w:sz w:val="23"/>
        </w:rPr>
        <w:t>Business overview</w:t>
      </w:r>
    </w:p>
    <w:p>
      <w:r>
        <w:rPr>
          <w:b w:val="0"/>
          <w:i w:val="0"/>
          <w:sz w:val="21"/>
        </w:rPr>
        <w:t>Azalea relaunches the acquired Hickory agency in the Tyler / Smith County market (CBSA 46340) under an experienced local team that brings established referral relationships and an existing patient panel. The model is grounded in validated economics - a proven ~22 ADC / ~$118K-net-per-month book benchmarked to actual collections - and the base case grows with the local referral pipeline to ~40 ADC in Year 2 and ~54 ADC in Year 3. Revenue is 100% Medicare RHC per-diem at a blended net rate of $181/patient-day (escalating 2.5%/year).</w:t>
      </w:r>
    </w:p>
    <w:p>
      <w:r>
        <w:rPr>
          <w:b/>
          <w:color w:val="1F3864"/>
          <w:sz w:val="23"/>
        </w:rPr>
        <w:t>Management team</w:t>
      </w:r>
    </w:p>
    <w:p>
      <w:r>
        <w:rPr>
          <w:b w:val="0"/>
          <w:i w:val="0"/>
          <w:sz w:val="21"/>
        </w:rPr>
        <w:t>Azalea is led by an already-seated team: Geoff Schackmann (Managing Member - multi-hospice operator), Silas Shelton (Executive Director), Dana Davenport (Director of Nursing), and Bradley Woodard (Director of Sales - 25+ years East-Texas hospice business development), supported by RN case managers, hospice aides, a PRN visit pool, and 1099 Medical Directors.</w:t>
      </w:r>
    </w:p>
    <w:p>
      <w:r>
        <w:rPr>
          <w:b/>
          <w:color w:val="1F3864"/>
          <w:sz w:val="23"/>
        </w:rPr>
        <w:t>Repayment case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592"/>
          </w:tcPr>
          <w:p>
            <w:r/>
            <w:r>
              <w:rPr>
                <w:b/>
                <w:sz w:val="19"/>
              </w:rPr>
            </w:r>
          </w:p>
        </w:tc>
        <w:tc>
          <w:tcPr>
            <w:tcW w:type="dxa" w:w="2160"/>
          </w:tcPr>
          <w:p>
            <w:r/>
            <w:r>
              <w:rPr>
                <w:b/>
                <w:sz w:val="19"/>
              </w:rPr>
              <w:t>Year 1</w:t>
            </w:r>
          </w:p>
        </w:tc>
        <w:tc>
          <w:tcPr>
            <w:tcW w:type="dxa" w:w="2160"/>
          </w:tcPr>
          <w:p>
            <w:r/>
            <w:r>
              <w:rPr>
                <w:b/>
                <w:sz w:val="19"/>
              </w:rPr>
              <w:t>Year 2</w:t>
            </w:r>
          </w:p>
        </w:tc>
        <w:tc>
          <w:tcPr>
            <w:tcW w:type="dxa" w:w="2160"/>
          </w:tcPr>
          <w:p>
            <w:r/>
            <w:r>
              <w:rPr>
                <w:b/>
                <w:sz w:val="19"/>
              </w:rPr>
              <w:t>Year 3</w:t>
            </w:r>
          </w:p>
        </w:tc>
      </w:tr>
      <w:tr>
        <w:tc>
          <w:tcPr>
            <w:tcW w:type="dxa" w:w="2592"/>
          </w:tcPr>
          <w:p>
            <w:r/>
            <w:r>
              <w:rPr>
                <w:sz w:val="19"/>
              </w:rPr>
              <w:t>Net income</w:t>
            </w:r>
          </w:p>
        </w:tc>
        <w:tc>
          <w:tcPr>
            <w:tcW w:type="dxa" w:w="2160"/>
          </w:tcPr>
          <w:p>
            <w:r/>
            <w:r>
              <w:rPr>
                <w:sz w:val="19"/>
              </w:rPr>
              <w:t>$199,308</w:t>
            </w:r>
          </w:p>
        </w:tc>
        <w:tc>
          <w:tcPr>
            <w:tcW w:type="dxa" w:w="2160"/>
          </w:tcPr>
          <w:p>
            <w:r/>
            <w:r>
              <w:rPr>
                <w:sz w:val="19"/>
              </w:rPr>
              <w:t>$574,951</w:t>
            </w:r>
          </w:p>
        </w:tc>
        <w:tc>
          <w:tcPr>
            <w:tcW w:type="dxa" w:w="2160"/>
          </w:tcPr>
          <w:p>
            <w:r/>
            <w:r>
              <w:rPr>
                <w:sz w:val="19"/>
              </w:rPr>
              <w:t>$903,362</w:t>
            </w:r>
          </w:p>
        </w:tc>
      </w:tr>
      <w:tr>
        <w:tc>
          <w:tcPr>
            <w:tcW w:type="dxa" w:w="2592"/>
          </w:tcPr>
          <w:p>
            <w:r/>
            <w:r>
              <w:rPr>
                <w:sz w:val="19"/>
              </w:rPr>
              <w:t>EBITDA</w:t>
            </w:r>
          </w:p>
        </w:tc>
        <w:tc>
          <w:tcPr>
            <w:tcW w:type="dxa" w:w="2160"/>
          </w:tcPr>
          <w:p>
            <w:r/>
            <w:r>
              <w:rPr>
                <w:sz w:val="19"/>
              </w:rPr>
              <w:t>$302,522</w:t>
            </w:r>
          </w:p>
        </w:tc>
        <w:tc>
          <w:tcPr>
            <w:tcW w:type="dxa" w:w="2160"/>
          </w:tcPr>
          <w:p>
            <w:r/>
            <w:r>
              <w:rPr>
                <w:sz w:val="19"/>
              </w:rPr>
              <w:t>$679,524</w:t>
            </w:r>
          </w:p>
        </w:tc>
        <w:tc>
          <w:tcPr>
            <w:tcW w:type="dxa" w:w="2160"/>
          </w:tcPr>
          <w:p>
            <w:r/>
            <w:r>
              <w:rPr>
                <w:sz w:val="19"/>
              </w:rPr>
              <w:t>$1,007,520</w:t>
            </w:r>
          </w:p>
        </w:tc>
      </w:tr>
      <w:tr>
        <w:tc>
          <w:tcPr>
            <w:tcW w:type="dxa" w:w="2592"/>
          </w:tcPr>
          <w:p>
            <w:r/>
            <w:r>
              <w:rPr>
                <w:sz w:val="19"/>
              </w:rPr>
              <w:t>DSCR (SBA-only)</w:t>
            </w:r>
          </w:p>
        </w:tc>
        <w:tc>
          <w:tcPr>
            <w:tcW w:type="dxa" w:w="2160"/>
          </w:tcPr>
          <w:p>
            <w:r/>
            <w:r>
              <w:rPr>
                <w:sz w:val="19"/>
              </w:rPr>
              <w:t>3.23x</w:t>
            </w:r>
          </w:p>
        </w:tc>
        <w:tc>
          <w:tcPr>
            <w:tcW w:type="dxa" w:w="2160"/>
          </w:tcPr>
          <w:p>
            <w:r/>
            <w:r>
              <w:rPr>
                <w:sz w:val="19"/>
              </w:rPr>
              <w:t>7.26x</w:t>
            </w:r>
          </w:p>
        </w:tc>
        <w:tc>
          <w:tcPr>
            <w:tcW w:type="dxa" w:w="2160"/>
          </w:tcPr>
          <w:p>
            <w:r/>
            <w:r>
              <w:rPr>
                <w:sz w:val="19"/>
              </w:rPr>
              <w:t>10.76x</w:t>
            </w:r>
          </w:p>
        </w:tc>
      </w:tr>
    </w:tbl>
    <w:p>
      <w:r>
        <w:rPr>
          <w:b w:val="0"/>
          <w:i w:val="0"/>
          <w:sz w:val="21"/>
        </w:rPr>
        <w:t>The operation is EBITDA-positive from early in the ramp. Because the seller is paid in full at close, the SBA loan is the only debt: against SBA debt service of $93,637/yr, the model clears a global 3-year DSCR of 7.08x - far above the 1.25x floor - and strengthens each year (3.23x -&gt; 7.26x -&gt; 10.76x). The $372,000 opening reserve keeps minimum cash well above the $25,000 floor through the ramp, and with only ~$7,030/mo of debt service the reserve stretches comfortably.</w:t>
      </w:r>
    </w:p>
    <w:p>
      <w:r>
        <w:br w:type="page"/>
      </w:r>
    </w:p>
    <w:p>
      <w:r>
        <w:rPr>
          <w:b/>
          <w:color w:val="1F3864"/>
          <w:sz w:val="30"/>
        </w:rPr>
        <w:t>02 - Company Description</w:t>
      </w:r>
    </w:p>
    <w:p>
      <w:r>
        <w:rPr>
          <w:b/>
          <w:color w:val="1F3864"/>
          <w:sz w:val="23"/>
        </w:rPr>
        <w:t>2.1 Legal structure</w:t>
      </w:r>
    </w:p>
    <w:p>
      <w:r>
        <w:rPr>
          <w:b w:val="0"/>
          <w:i w:val="0"/>
          <w:sz w:val="21"/>
        </w:rPr>
        <w:t>Tyler Hospice HoldCo L.L.C. is a Wyoming LLC (formed 2026; EIN 41-4966640), authorized to do business in Texas. As the borrower and holding entity, it owns 100% of Hickory Hospice LLC - a Texas HCSSA-licensed, Medicare-certified hospice - which operates as Azalea Hospice &amp; Palliative Care. The transaction is a change of ownership (CHOW) of Hickory's existing provider number (purchase of 100% of membership interests), so Azalea runs on a licensed, billing-ready platform from day one - preserving the existing number rather than awaiting a new-provider 855A enrollment, with CHAP/ACHC accreditation transferring in the CHOW. The Company is taxed as a partnership for federal income tax purposes.</w:t>
      </w:r>
    </w:p>
    <w:p>
      <w:r>
        <w:rPr>
          <w:b/>
          <w:color w:val="1F3864"/>
          <w:sz w:val="23"/>
        </w:rPr>
        <w:t>2.2 Ownership &amp; capitalization</w:t>
      </w:r>
    </w:p>
    <w:tbl>
      <w:tblPr>
        <w:tblStyle w:val="LightGrid-Accent1"/>
        <w:tblW w:type="auto" w:w="0"/>
        <w:jc w:val="left"/>
        <w:tblLook w:firstColumn="1" w:firstRow="1" w:lastColumn="0" w:lastRow="0" w:noHBand="0" w:noVBand="1" w:val="04A0"/>
      </w:tblPr>
      <w:tblGrid>
        <w:gridCol w:w="2880"/>
        <w:gridCol w:w="2880"/>
        <w:gridCol w:w="2880"/>
      </w:tblGrid>
      <w:tr>
        <w:tc>
          <w:tcPr>
            <w:tcW w:type="dxa" w:w="3168"/>
          </w:tcPr>
          <w:p>
            <w:r/>
            <w:r>
              <w:rPr>
                <w:b/>
                <w:sz w:val="19"/>
              </w:rPr>
              <w:t>Member / source</w:t>
            </w:r>
          </w:p>
        </w:tc>
        <w:tc>
          <w:tcPr>
            <w:tcW w:type="dxa" w:w="1296"/>
          </w:tcPr>
          <w:p>
            <w:r/>
            <w:r>
              <w:rPr>
                <w:b/>
                <w:sz w:val="19"/>
              </w:rPr>
              <w:t>Interest</w:t>
            </w:r>
          </w:p>
        </w:tc>
        <w:tc>
          <w:tcPr>
            <w:tcW w:type="dxa" w:w="4896"/>
          </w:tcPr>
          <w:p>
            <w:r/>
            <w:r>
              <w:rPr>
                <w:b/>
                <w:sz w:val="19"/>
              </w:rPr>
              <w:t>Role &amp; structure</w:t>
            </w:r>
          </w:p>
        </w:tc>
      </w:tr>
      <w:tr>
        <w:tc>
          <w:tcPr>
            <w:tcW w:type="dxa" w:w="3168"/>
          </w:tcPr>
          <w:p>
            <w:r/>
            <w:r>
              <w:rPr>
                <w:sz w:val="19"/>
              </w:rPr>
              <w:t>Adeline &amp; Lilah, LLC (AZ)</w:t>
            </w:r>
          </w:p>
        </w:tc>
        <w:tc>
          <w:tcPr>
            <w:tcW w:type="dxa" w:w="1296"/>
          </w:tcPr>
          <w:p>
            <w:r/>
            <w:r>
              <w:rPr>
                <w:sz w:val="19"/>
              </w:rPr>
              <w:t>39.9%</w:t>
            </w:r>
          </w:p>
        </w:tc>
        <w:tc>
          <w:tcPr>
            <w:tcW w:type="dxa" w:w="4896"/>
          </w:tcPr>
          <w:p>
            <w:r/>
            <w:r>
              <w:rPr>
                <w:sz w:val="19"/>
              </w:rPr>
              <w:t>Managing Member - owned 50% Geoff Schackmann / 50% Mary Elizabeth Burcham; Geoff serves as Manager and provides the SBA personal guaranty</w:t>
            </w:r>
          </w:p>
        </w:tc>
      </w:tr>
      <w:tr>
        <w:tc>
          <w:tcPr>
            <w:tcW w:type="dxa" w:w="3168"/>
          </w:tcPr>
          <w:p>
            <w:r/>
            <w:r>
              <w:rPr>
                <w:sz w:val="19"/>
              </w:rPr>
              <w:t>James E. Bullard</w:t>
            </w:r>
          </w:p>
        </w:tc>
        <w:tc>
          <w:tcPr>
            <w:tcW w:type="dxa" w:w="1296"/>
          </w:tcPr>
          <w:p>
            <w:r/>
            <w:r>
              <w:rPr>
                <w:sz w:val="19"/>
              </w:rPr>
              <w:t>19.5%</w:t>
            </w:r>
          </w:p>
        </w:tc>
        <w:tc>
          <w:tcPr>
            <w:tcW w:type="dxa" w:w="4896"/>
          </w:tcPr>
          <w:p>
            <w:r/>
            <w:r>
              <w:rPr>
                <w:sz w:val="19"/>
              </w:rPr>
              <w:t>Passive minority investor - $195,000 cash capital contribution; protective minority rights only, no operational control; under 20%, no guaranty</w:t>
            </w:r>
          </w:p>
        </w:tc>
      </w:tr>
      <w:tr>
        <w:tc>
          <w:tcPr>
            <w:tcW w:type="dxa" w:w="3168"/>
          </w:tcPr>
          <w:p>
            <w:r/>
            <w:r>
              <w:rPr>
                <w:sz w:val="19"/>
              </w:rPr>
              <w:t>Silas R. Shelton</w:t>
            </w:r>
          </w:p>
        </w:tc>
        <w:tc>
          <w:tcPr>
            <w:tcW w:type="dxa" w:w="1296"/>
          </w:tcPr>
          <w:p>
            <w:r/>
            <w:r>
              <w:rPr>
                <w:sz w:val="19"/>
              </w:rPr>
              <w:t>13.3%</w:t>
            </w:r>
          </w:p>
        </w:tc>
        <w:tc>
          <w:tcPr>
            <w:tcW w:type="dxa" w:w="4896"/>
          </w:tcPr>
          <w:p>
            <w:r/>
            <w:r>
              <w:rPr>
                <w:sz w:val="19"/>
              </w:rPr>
              <w:t>Executive Director - Restricted Interest (fully forfeitable; 4.9% time-vested base + 8.4% dual-trigger earn-up)</w:t>
            </w:r>
          </w:p>
        </w:tc>
      </w:tr>
      <w:tr>
        <w:tc>
          <w:tcPr>
            <w:tcW w:type="dxa" w:w="3168"/>
          </w:tcPr>
          <w:p>
            <w:r/>
            <w:r>
              <w:rPr>
                <w:sz w:val="19"/>
              </w:rPr>
              <w:t>Dana L. Davenport</w:t>
            </w:r>
          </w:p>
        </w:tc>
        <w:tc>
          <w:tcPr>
            <w:tcW w:type="dxa" w:w="1296"/>
          </w:tcPr>
          <w:p>
            <w:r/>
            <w:r>
              <w:rPr>
                <w:sz w:val="19"/>
              </w:rPr>
              <w:t>13.3%</w:t>
            </w:r>
          </w:p>
        </w:tc>
        <w:tc>
          <w:tcPr>
            <w:tcW w:type="dxa" w:w="4896"/>
          </w:tcPr>
          <w:p>
            <w:r/>
            <w:r>
              <w:rPr>
                <w:sz w:val="19"/>
              </w:rPr>
              <w:t>Director of Nursing - Restricted Interest (fully forfeitable; 4.9% time-vested base + 8.4% dual-trigger earn-up)</w:t>
            </w:r>
          </w:p>
        </w:tc>
      </w:tr>
      <w:tr>
        <w:tc>
          <w:tcPr>
            <w:tcW w:type="dxa" w:w="3168"/>
          </w:tcPr>
          <w:p>
            <w:r/>
            <w:r>
              <w:rPr>
                <w:sz w:val="19"/>
              </w:rPr>
              <w:t>Bradley G. Woodard</w:t>
            </w:r>
          </w:p>
        </w:tc>
        <w:tc>
          <w:tcPr>
            <w:tcW w:type="dxa" w:w="1296"/>
          </w:tcPr>
          <w:p>
            <w:r/>
            <w:r>
              <w:rPr>
                <w:sz w:val="19"/>
              </w:rPr>
              <w:t>13.3%</w:t>
            </w:r>
          </w:p>
        </w:tc>
        <w:tc>
          <w:tcPr>
            <w:tcW w:type="dxa" w:w="4896"/>
          </w:tcPr>
          <w:p>
            <w:r/>
            <w:r>
              <w:rPr>
                <w:sz w:val="19"/>
              </w:rPr>
              <w:t>Director of Sales - Restricted Interest (fully forfeitable; 4.9% time-vested base + 8.4% dual-trigger earn-up)</w:t>
            </w:r>
          </w:p>
        </w:tc>
      </w:tr>
      <w:tr>
        <w:tc>
          <w:tcPr>
            <w:tcW w:type="dxa" w:w="3168"/>
          </w:tcPr>
          <w:p>
            <w:r/>
            <w:r>
              <w:rPr>
                <w:sz w:val="19"/>
              </w:rPr>
              <w:t>Unissued pool</w:t>
            </w:r>
          </w:p>
        </w:tc>
        <w:tc>
          <w:tcPr>
            <w:tcW w:type="dxa" w:w="1296"/>
          </w:tcPr>
          <w:p>
            <w:r/>
            <w:r>
              <w:rPr>
                <w:sz w:val="19"/>
              </w:rPr>
              <w:t>0.7%</w:t>
            </w:r>
          </w:p>
        </w:tc>
        <w:tc>
          <w:tcPr>
            <w:tcW w:type="dxa" w:w="4896"/>
          </w:tcPr>
          <w:p>
            <w:r/>
            <w:r>
              <w:rPr>
                <w:sz w:val="19"/>
              </w:rPr>
              <w:t>Reserved for future grants</w:t>
            </w:r>
          </w:p>
        </w:tc>
      </w:tr>
    </w:tbl>
    <w:p>
      <w:r>
        <w:rPr>
          <w:b/>
          <w:color w:val="1F3864"/>
          <w:sz w:val="23"/>
        </w:rPr>
        <w:t>Sources of capital &amp; SBA guaranty</w:t>
      </w:r>
    </w:p>
    <w:p>
      <w:r>
        <w:rPr>
          <w:b w:val="0"/>
          <w:i w:val="0"/>
          <w:sz w:val="21"/>
        </w:rPr>
        <w:t>The $750,000 project is funded by the $555,000 SBA 7(a) loan and a $195,000 cash equity injection contributed by investor James E. Bullard in exchange for a direct 19.5% membership interest. The $300,000 acquisition price is paid in full at close from these sources - there is no retained seller note, so the SBA loan is the only debt the business carries. The injection equals 26.0% of total project cost - 2.6 times the 10% minimum required under SBA SOP 50 10 8, though below the ~30% down some startup lenders prefer. Mr. Bullard's funds are his own savings (non-borrowed), verified by his bank statements; $100,000 was wired on May 7, 2026 and the balance follows on a committed schedule. Because he holds less than 20% and exercises no operational control, no personal guaranty is required of him (13 CFR 120.160). The Managing Member (Geoff Schackmann, via Adeline &amp; Lilah, LLC) is the sole 20%+ owner and provides the SBA personal guaranty.</w:t>
      </w:r>
    </w:p>
    <w:p>
      <w:r>
        <w:rPr>
          <w:b/>
          <w:color w:val="1F3864"/>
          <w:sz w:val="23"/>
        </w:rPr>
        <w:t>2.3 Acquired platform &amp; validated economics</w:t>
      </w:r>
    </w:p>
    <w:p>
      <w:r>
        <w:rPr>
          <w:b w:val="0"/>
          <w:i w:val="0"/>
          <w:sz w:val="21"/>
        </w:rPr>
        <w:t>Rather than projecting speculative new-admit growth, the financial model is benchmarked to actual operating results - a proven ~22 ADC / ~$118K-net-per-month book (Apr-Jun 2025 actuals) - so the per-diem rate, patient-day costs, and census all reconcile to real collections. Because the CHOW preserves the provider number, the patient panel, care team, and referral relationships carry over, supporting revenue continuity from day one.</w:t>
      </w:r>
    </w:p>
    <w:p>
      <w:r>
        <w:rPr>
          <w:b/>
          <w:color w:val="1F3864"/>
          <w:sz w:val="23"/>
        </w:rPr>
        <w:t>2.4 Brand and identity</w:t>
      </w:r>
    </w:p>
    <w:p>
      <w:r>
        <w:rPr>
          <w:b w:val="0"/>
          <w:i w:val="0"/>
          <w:sz w:val="21"/>
        </w:rPr>
        <w:t>Azalea Hospice &amp; Palliative Care is positioned for dignity-led hospice service in East Texas. Tagline: "The standard you upheld your whole life is the one we keep today." Service pillars: Honor, Dignity, Faith, and Reverence - aligned to the conservative-Christian demographic prevalent in Smith County.</w:t>
      </w:r>
    </w:p>
    <w:p>
      <w:r>
        <w:br w:type="page"/>
      </w:r>
    </w:p>
    <w:p>
      <w:r>
        <w:rPr>
          <w:b/>
          <w:color w:val="1F3864"/>
          <w:sz w:val="30"/>
        </w:rPr>
        <w:t>03 - Market and Industry Analysis</w:t>
      </w:r>
    </w:p>
    <w:p>
      <w:r>
        <w:rPr>
          <w:b/>
          <w:color w:val="1F3864"/>
          <w:sz w:val="23"/>
        </w:rPr>
        <w:t>3.1 Hospice regulatory environment</w:t>
      </w:r>
    </w:p>
    <w:p>
      <w:r>
        <w:rPr>
          <w:b w:val="0"/>
          <w:i w:val="0"/>
          <w:sz w:val="21"/>
        </w:rPr>
        <w:t>Hospice in the United States is delivered under the Medicare Hospice Benefit (established 1982, codified at 42 CFR Part 418). Patients with a terminal prognosis of six months or less, certified by two physicians, elect the benefit in lieu of curative treatment. Four levels of care are reimbursed: Routine Home Care (RHC) at a two-tier per-diem (days 1-60 higher, days 61+ lower), General Inpatient (GIP), Continuous Home Care (CHC), and Inpatient Respite (IRC). Azalea is modeled at ~100% RHC, consistent with national community-hospice patterns.</w:t>
      </w:r>
    </w:p>
    <w:p>
      <w:r>
        <w:rPr>
          <w:b w:val="0"/>
          <w:i w:val="0"/>
          <w:sz w:val="21"/>
        </w:rPr>
        <w:t>For FY2026 the national RHC rates are $230.83/day (Tier 1, days 1-60) and $182.36/day (Tier 2, days 61+), adjusted by the Tyler CBSA 46340 wage index (0.88) on the 0.68 labor share. With 40% of patient-days in Tier 1, the blended gross rate is $185.29/PD; net of 2% sequestration and 0.15% write-offs, the blended net rate is $181/PD - validated against actual Tyler-market collections and escalated 2.5%/year (CMS hospice rates have risen every year since 2010).</w:t>
      </w:r>
    </w:p>
    <w:p>
      <w:r>
        <w:rPr>
          <w:b/>
          <w:color w:val="1F3864"/>
          <w:sz w:val="23"/>
        </w:rPr>
        <w:t>3.2 Tyler market - demographics and service area</w:t>
      </w:r>
    </w:p>
    <w:p>
      <w:r>
        <w:rPr>
          <w:b w:val="0"/>
          <w:i w:val="0"/>
          <w:sz w:val="21"/>
        </w:rPr>
        <w:t>Tyler, Texas (city pop. ~110,000; metro ~245,000) is the principal city of Smith County and the regional healthcare hub for East Texas. Azalea operates from a principal office in the Tyler area with a ~45-mile service radius.</w:t>
      </w:r>
    </w:p>
    <w:p>
      <w:r>
        <w:rPr>
          <w:b w:val="0"/>
          <w:i w:val="0"/>
          <w:sz w:val="21"/>
        </w:rPr>
        <w:t xml:space="preserve">  - Service-area population: ~350,000 across Smith, Cherokee, Henderson, Rusk, Van Zandt, and Wood counties</w:t>
      </w:r>
    </w:p>
    <w:p>
      <w:r>
        <w:rPr>
          <w:b w:val="0"/>
          <w:i w:val="0"/>
          <w:sz w:val="21"/>
        </w:rPr>
        <w:t xml:space="preserve">  - Medicare-eligible population (65+): ~60,000+</w:t>
      </w:r>
    </w:p>
    <w:p>
      <w:r>
        <w:rPr>
          <w:b w:val="0"/>
          <w:i w:val="0"/>
          <w:sz w:val="21"/>
        </w:rPr>
        <w:t xml:space="preserve">  - Hospice utilization: 50-55% of Medicare decedents (above the ~50% national average) - a mature, accepting market</w:t>
      </w:r>
    </w:p>
    <w:p>
      <w:r>
        <w:rPr>
          <w:b w:val="0"/>
          <w:i w:val="0"/>
          <w:sz w:val="21"/>
        </w:rPr>
        <w:t xml:space="preserve">  - Population growth: Tyler has grown 15%+ since 2010, driven by healthcare-sector expansion and retirement in-migration</w:t>
      </w:r>
    </w:p>
    <w:p>
      <w:r>
        <w:rPr>
          <w:b w:val="0"/>
          <w:i w:val="0"/>
          <w:sz w:val="21"/>
        </w:rPr>
        <w:t xml:space="preserve">  - Dominant religious demographic: conservative-Christian - strong alignment with Azalea's faith-based service pillars</w:t>
      </w:r>
    </w:p>
    <w:p>
      <w:r>
        <w:rPr>
          <w:b/>
          <w:color w:val="1F3864"/>
          <w:sz w:val="23"/>
        </w:rPr>
        <w:t>3.3 Major hospital systems - referral drivers</w:t>
      </w:r>
    </w:p>
    <w:p>
      <w:r>
        <w:rPr>
          <w:b w:val="0"/>
          <w:i w:val="0"/>
          <w:sz w:val="21"/>
        </w:rPr>
        <w:t xml:space="preserve">  - UT Health Tyler - 502-bed Level 1 trauma center, regional referral hub</w:t>
      </w:r>
    </w:p>
    <w:p>
      <w:r>
        <w:rPr>
          <w:b w:val="0"/>
          <w:i w:val="0"/>
          <w:sz w:val="21"/>
        </w:rPr>
        <w:t xml:space="preserve">  - CHRISTUS Trinity Mother Frances - 438-bed acute care flagship</w:t>
      </w:r>
    </w:p>
    <w:p>
      <w:r>
        <w:rPr>
          <w:b w:val="0"/>
          <w:i w:val="0"/>
          <w:sz w:val="21"/>
        </w:rPr>
        <w:t xml:space="preserve">  - UT Health North East - 153-bed acute care</w:t>
      </w:r>
    </w:p>
    <w:p>
      <w:r>
        <w:rPr>
          <w:b w:val="0"/>
          <w:i w:val="0"/>
          <w:sz w:val="21"/>
        </w:rPr>
        <w:t xml:space="preserve">  - CHRISTUS Louis &amp; Peaches Owen Heart Hospital - cardiac</w:t>
      </w:r>
    </w:p>
    <w:p>
      <w:r>
        <w:rPr>
          <w:b w:val="0"/>
          <w:i w:val="0"/>
          <w:sz w:val="21"/>
        </w:rPr>
        <w:t xml:space="preserve">  - Texas Spine &amp; Joint Hospital - 64-bed surgical</w:t>
      </w:r>
    </w:p>
    <w:p>
      <w:r>
        <w:rPr>
          <w:b w:val="0"/>
          <w:i w:val="0"/>
          <w:sz w:val="21"/>
        </w:rPr>
        <w:t xml:space="preserve">  - UT Health Jacksonville - 90-bed acute care (Cherokee County)</w:t>
      </w:r>
    </w:p>
    <w:p>
      <w:r>
        <w:rPr>
          <w:b/>
          <w:color w:val="1F3864"/>
          <w:sz w:val="23"/>
        </w:rPr>
        <w:t>3.4 Skilled nursing &amp; assisted living landscape</w:t>
      </w:r>
    </w:p>
    <w:p>
      <w:r>
        <w:rPr>
          <w:b w:val="0"/>
          <w:i w:val="0"/>
          <w:sz w:val="21"/>
        </w:rPr>
        <w:t>Smith County and surrounding counties hold ~40+ skilled nursing facilities (SNFs) and ~30+ assisted living facilities (ALFs). These are a concentrated, high-volume referral source: residents with terminal diagnoses frequently elect hospice, and facility relationships drive consistent admission volume. Tier 1 facilities (highest-census SNFs and ALFs in the Tyler metro) receive weekly in-person visits from the Director of Sales and clinical liaison; Tier 2 facilities receive bi-weekly or monthly touchpoints by census potential.</w:t>
      </w:r>
    </w:p>
    <w:p>
      <w:r>
        <w:rPr>
          <w:b/>
          <w:color w:val="1F3864"/>
          <w:sz w:val="23"/>
        </w:rPr>
        <w:t>3.5 Physician &amp; referral source ecosystem</w:t>
      </w:r>
    </w:p>
    <w:p>
      <w:r>
        <w:rPr>
          <w:b w:val="0"/>
          <w:i w:val="0"/>
          <w:sz w:val="21"/>
        </w:rPr>
        <w:t>Hospice admissions in the Tyler market are driven by referral relationships with hospital discharge planners and case managers (the single highest-volume source), 200+ primary care physicians, oncologists (UT Health Tyler Cancer Center, Texas Oncology, CHRISTUS), organ-specialty physicians (pulmonology, cardiology, neurology), SNF/ALF medical directors and DONs, and the faith-community and pastoral-care networks that are uniquely important in East Texas. A mature, above-average-utilization market with 60,000+ Medicare-eligible residents and 70+ senior facilities - entered not cold, but by an experienced local team on validated Tyler-market economics.</w:t>
      </w:r>
    </w:p>
    <w:p>
      <w:r>
        <w:br w:type="page"/>
      </w:r>
    </w:p>
    <w:p>
      <w:r>
        <w:rPr>
          <w:b/>
          <w:color w:val="1F3864"/>
          <w:sz w:val="30"/>
        </w:rPr>
        <w:t>04 - Competitive Analysis</w:t>
      </w:r>
    </w:p>
    <w:p>
      <w:r>
        <w:rPr>
          <w:b w:val="0"/>
          <w:i w:val="0"/>
          <w:sz w:val="21"/>
        </w:rPr>
        <w:t>The Tyler/Smith County hospice market includes national multi-state operators, regional providers, and local independents. Key Medicare-certified providers serving the market:</w:t>
      </w:r>
    </w:p>
    <w:tbl>
      <w:tblPr>
        <w:tblStyle w:val="LightGrid-Accent1"/>
        <w:tblW w:type="auto" w:w="0"/>
        <w:jc w:val="left"/>
        <w:tblLook w:firstColumn="1" w:firstRow="1" w:lastColumn="0" w:lastRow="0" w:noHBand="0" w:noVBand="1" w:val="04A0"/>
      </w:tblPr>
      <w:tblGrid>
        <w:gridCol w:w="2880"/>
        <w:gridCol w:w="2880"/>
        <w:gridCol w:w="2880"/>
      </w:tblGrid>
      <w:tr>
        <w:tc>
          <w:tcPr>
            <w:tcW w:type="dxa" w:w="3168"/>
          </w:tcPr>
          <w:p>
            <w:r/>
            <w:r>
              <w:rPr>
                <w:b/>
                <w:sz w:val="19"/>
              </w:rPr>
              <w:t>Competitor</w:t>
            </w:r>
          </w:p>
        </w:tc>
        <w:tc>
          <w:tcPr>
            <w:tcW w:type="dxa" w:w="2016"/>
          </w:tcPr>
          <w:p>
            <w:r/>
            <w:r>
              <w:rPr>
                <w:b/>
                <w:sz w:val="19"/>
              </w:rPr>
              <w:t>Type</w:t>
            </w:r>
          </w:p>
        </w:tc>
        <w:tc>
          <w:tcPr>
            <w:tcW w:type="dxa" w:w="4320"/>
          </w:tcPr>
          <w:p>
            <w:r/>
            <w:r>
              <w:rPr>
                <w:b/>
                <w:sz w:val="19"/>
              </w:rPr>
              <w:t>Weaknesses vs. Azalea</w:t>
            </w:r>
          </w:p>
        </w:tc>
      </w:tr>
      <w:tr>
        <w:tc>
          <w:tcPr>
            <w:tcW w:type="dxa" w:w="3168"/>
          </w:tcPr>
          <w:p>
            <w:r/>
            <w:r>
              <w:rPr>
                <w:sz w:val="19"/>
              </w:rPr>
              <w:t>Heart to Heart Hospice - Tyler</w:t>
            </w:r>
          </w:p>
        </w:tc>
        <w:tc>
          <w:tcPr>
            <w:tcW w:type="dxa" w:w="2016"/>
          </w:tcPr>
          <w:p>
            <w:r/>
            <w:r>
              <w:rPr>
                <w:sz w:val="19"/>
              </w:rPr>
              <w:t>Regional (TX)</w:t>
            </w:r>
          </w:p>
        </w:tc>
        <w:tc>
          <w:tcPr>
            <w:tcW w:type="dxa" w:w="4320"/>
          </w:tcPr>
          <w:p>
            <w:r/>
            <w:r>
              <w:rPr>
                <w:sz w:val="19"/>
              </w:rPr>
              <w:t>Standard model; no faith-based differentiation</w:t>
            </w:r>
          </w:p>
        </w:tc>
      </w:tr>
      <w:tr>
        <w:tc>
          <w:tcPr>
            <w:tcW w:type="dxa" w:w="3168"/>
          </w:tcPr>
          <w:p>
            <w:r/>
            <w:r>
              <w:rPr>
                <w:sz w:val="19"/>
              </w:rPr>
              <w:t>VITAS Healthcare - Tyler</w:t>
            </w:r>
          </w:p>
        </w:tc>
        <w:tc>
          <w:tcPr>
            <w:tcW w:type="dxa" w:w="2016"/>
          </w:tcPr>
          <w:p>
            <w:r/>
            <w:r>
              <w:rPr>
                <w:sz w:val="19"/>
              </w:rPr>
              <w:t>National</w:t>
            </w:r>
          </w:p>
        </w:tc>
        <w:tc>
          <w:tcPr>
            <w:tcW w:type="dxa" w:w="4320"/>
          </w:tcPr>
          <w:p>
            <w:r/>
            <w:r>
              <w:rPr>
                <w:sz w:val="19"/>
              </w:rPr>
              <w:t>Bureaucratic; national protocols; less personal</w:t>
            </w:r>
          </w:p>
        </w:tc>
      </w:tr>
      <w:tr>
        <w:tc>
          <w:tcPr>
            <w:tcW w:type="dxa" w:w="3168"/>
          </w:tcPr>
          <w:p>
            <w:r/>
            <w:r>
              <w:rPr>
                <w:sz w:val="19"/>
              </w:rPr>
              <w:t>Hospice of East Texas</w:t>
            </w:r>
          </w:p>
        </w:tc>
        <w:tc>
          <w:tcPr>
            <w:tcW w:type="dxa" w:w="2016"/>
          </w:tcPr>
          <w:p>
            <w:r/>
            <w:r>
              <w:rPr>
                <w:sz w:val="19"/>
              </w:rPr>
              <w:t>Local nonprofit</w:t>
            </w:r>
          </w:p>
        </w:tc>
        <w:tc>
          <w:tcPr>
            <w:tcW w:type="dxa" w:w="4320"/>
          </w:tcPr>
          <w:p>
            <w:r/>
            <w:r>
              <w:rPr>
                <w:sz w:val="19"/>
              </w:rPr>
              <w:t>Limited marketing budget; slower growth</w:t>
            </w:r>
          </w:p>
        </w:tc>
      </w:tr>
      <w:tr>
        <w:tc>
          <w:tcPr>
            <w:tcW w:type="dxa" w:w="3168"/>
          </w:tcPr>
          <w:p>
            <w:r/>
            <w:r>
              <w:rPr>
                <w:sz w:val="19"/>
              </w:rPr>
              <w:t>CHRISTUS Hospice</w:t>
            </w:r>
          </w:p>
        </w:tc>
        <w:tc>
          <w:tcPr>
            <w:tcW w:type="dxa" w:w="2016"/>
          </w:tcPr>
          <w:p>
            <w:r/>
            <w:r>
              <w:rPr>
                <w:sz w:val="19"/>
              </w:rPr>
              <w:t>Health system</w:t>
            </w:r>
          </w:p>
        </w:tc>
        <w:tc>
          <w:tcPr>
            <w:tcW w:type="dxa" w:w="4320"/>
          </w:tcPr>
          <w:p>
            <w:r/>
            <w:r>
              <w:rPr>
                <w:sz w:val="19"/>
              </w:rPr>
              <w:t>System constraints; less flexibility</w:t>
            </w:r>
          </w:p>
        </w:tc>
      </w:tr>
      <w:tr>
        <w:tc>
          <w:tcPr>
            <w:tcW w:type="dxa" w:w="3168"/>
          </w:tcPr>
          <w:p>
            <w:r/>
            <w:r>
              <w:rPr>
                <w:sz w:val="19"/>
              </w:rPr>
              <w:t>Enhabit Hospice - Tyler</w:t>
            </w:r>
          </w:p>
        </w:tc>
        <w:tc>
          <w:tcPr>
            <w:tcW w:type="dxa" w:w="2016"/>
          </w:tcPr>
          <w:p>
            <w:r/>
            <w:r>
              <w:rPr>
                <w:sz w:val="19"/>
              </w:rPr>
              <w:t>National (public)</w:t>
            </w:r>
          </w:p>
        </w:tc>
        <w:tc>
          <w:tcPr>
            <w:tcW w:type="dxa" w:w="4320"/>
          </w:tcPr>
          <w:p>
            <w:r/>
            <w:r>
              <w:rPr>
                <w:sz w:val="19"/>
              </w:rPr>
              <w:t>Fragmented sales effort; less local focus</w:t>
            </w:r>
          </w:p>
        </w:tc>
      </w:tr>
      <w:tr>
        <w:tc>
          <w:tcPr>
            <w:tcW w:type="dxa" w:w="3168"/>
          </w:tcPr>
          <w:p>
            <w:r/>
            <w:r>
              <w:rPr>
                <w:sz w:val="19"/>
              </w:rPr>
              <w:t>Traditions Health - Tyler</w:t>
            </w:r>
          </w:p>
        </w:tc>
        <w:tc>
          <w:tcPr>
            <w:tcW w:type="dxa" w:w="2016"/>
          </w:tcPr>
          <w:p>
            <w:r/>
            <w:r>
              <w:rPr>
                <w:sz w:val="19"/>
              </w:rPr>
              <w:t>National</w:t>
            </w:r>
          </w:p>
        </w:tc>
        <w:tc>
          <w:tcPr>
            <w:tcW w:type="dxa" w:w="4320"/>
          </w:tcPr>
          <w:p>
            <w:r/>
            <w:r>
              <w:rPr>
                <w:sz w:val="19"/>
              </w:rPr>
              <w:t>Newer entrant; relationships unproven</w:t>
            </w:r>
          </w:p>
        </w:tc>
      </w:tr>
      <w:tr>
        <w:tc>
          <w:tcPr>
            <w:tcW w:type="dxa" w:w="3168"/>
          </w:tcPr>
          <w:p>
            <w:r/>
            <w:r>
              <w:rPr>
                <w:sz w:val="19"/>
              </w:rPr>
              <w:t>Kindred / CenterWell</w:t>
            </w:r>
          </w:p>
        </w:tc>
        <w:tc>
          <w:tcPr>
            <w:tcW w:type="dxa" w:w="2016"/>
          </w:tcPr>
          <w:p>
            <w:r/>
            <w:r>
              <w:rPr>
                <w:sz w:val="19"/>
              </w:rPr>
              <w:t>National (Humana)</w:t>
            </w:r>
          </w:p>
        </w:tc>
        <w:tc>
          <w:tcPr>
            <w:tcW w:type="dxa" w:w="4320"/>
          </w:tcPr>
          <w:p>
            <w:r/>
            <w:r>
              <w:rPr>
                <w:sz w:val="19"/>
              </w:rPr>
              <w:t>Limited to Humana MA members</w:t>
            </w:r>
          </w:p>
        </w:tc>
      </w:tr>
      <w:tr>
        <w:tc>
          <w:tcPr>
            <w:tcW w:type="dxa" w:w="3168"/>
          </w:tcPr>
          <w:p>
            <w:r/>
            <w:r>
              <w:rPr>
                <w:sz w:val="19"/>
              </w:rPr>
              <w:t>Harbor Hospice - East TX</w:t>
            </w:r>
          </w:p>
        </w:tc>
        <w:tc>
          <w:tcPr>
            <w:tcW w:type="dxa" w:w="2016"/>
          </w:tcPr>
          <w:p>
            <w:r/>
            <w:r>
              <w:rPr>
                <w:sz w:val="19"/>
              </w:rPr>
              <w:t>Regional</w:t>
            </w:r>
          </w:p>
        </w:tc>
        <w:tc>
          <w:tcPr>
            <w:tcW w:type="dxa" w:w="4320"/>
          </w:tcPr>
          <w:p>
            <w:r/>
            <w:r>
              <w:rPr>
                <w:sz w:val="19"/>
              </w:rPr>
              <w:t>Limited capacity; smaller sales team</w:t>
            </w:r>
          </w:p>
        </w:tc>
      </w:tr>
    </w:tbl>
    <w:p>
      <w:r>
        <w:rPr>
          <w:b/>
          <w:color w:val="1F3864"/>
          <w:sz w:val="23"/>
        </w:rPr>
        <w:t>Azalea's differentiation</w:t>
      </w:r>
    </w:p>
    <w:p>
      <w:r>
        <w:rPr>
          <w:b w:val="0"/>
          <w:i w:val="0"/>
          <w:sz w:val="21"/>
        </w:rPr>
        <w:t xml:space="preserve">  - Validated local economics - modeled on a proven ~22 ADC Tyler book and an experienced team, not a standing start</w:t>
      </w:r>
    </w:p>
    <w:p>
      <w:r>
        <w:rPr>
          <w:b w:val="0"/>
          <w:i w:val="0"/>
          <w:sz w:val="21"/>
        </w:rPr>
        <w:t xml:space="preserve">  - Dignity-led hospitality model - luxury-hospitality standards applied to end-of-life care</w:t>
      </w:r>
    </w:p>
    <w:p>
      <w:r>
        <w:rPr>
          <w:b w:val="0"/>
          <w:i w:val="0"/>
          <w:sz w:val="21"/>
        </w:rPr>
        <w:t xml:space="preserve">  - Faith-aligned positioning - explicit Christian-values messaging resonant with the local demographic</w:t>
      </w:r>
    </w:p>
    <w:p>
      <w:r>
        <w:rPr>
          <w:b w:val="0"/>
          <w:i w:val="0"/>
          <w:sz w:val="21"/>
        </w:rPr>
        <w:t xml:space="preserve">  - Speed of admission - same-day / next-day response, faster than national competitors' 24-72 hours</w:t>
      </w:r>
    </w:p>
    <w:p>
      <w:r>
        <w:rPr>
          <w:b w:val="0"/>
          <w:i w:val="0"/>
          <w:sz w:val="21"/>
        </w:rPr>
        <w:t xml:space="preserve">  - Local independent ownership - faster decisions, no corporate bureaucracy, deeper relationship investment</w:t>
      </w:r>
    </w:p>
    <w:p>
      <w:r>
        <w:rPr>
          <w:b w:val="0"/>
          <w:i w:val="0"/>
          <w:sz w:val="21"/>
        </w:rPr>
        <w:t xml:space="preserve">  - MVI-certified in The Perfect Visit and Perfect Phones - national co-marketing exposure that local and regional competitors lack (see 4.1)</w:t>
      </w:r>
    </w:p>
    <w:p>
      <w:r>
        <w:rPr>
          <w:b/>
          <w:color w:val="1F3864"/>
          <w:sz w:val="23"/>
        </w:rPr>
        <w:t>4.1 MVI ‘Perfect Visit’ certification &amp; national co-marketing (strategic upside)</w:t>
      </w:r>
    </w:p>
    <w:p>
      <w:r>
        <w:rPr>
          <w:b w:val="0"/>
          <w:i w:val="0"/>
          <w:sz w:val="21"/>
        </w:rPr>
        <w:t>Azalea is pursuing certification by MultiView Incorporated (MVI) in The Perfect Visit and Perfect Phones - structured programs that certify an agency's patient-visit quality and its intake and telephone responsiveness against a defined standard. MVI, led by Andrew Reid, is launching a national, multi-platform advertising campaign that promotes hospice agencies certified in The Perfect Visit. As a certified agency, Azalea would be featured to a national audience - the kind of brand exposure normally reserved for the largest national operators with multi-million-dollar ad budgets, here made accessible to a local independent through the certification.</w:t>
      </w:r>
    </w:p>
    <w:p>
      <w:r>
        <w:rPr>
          <w:b w:val="0"/>
          <w:i w:val="0"/>
          <w:sz w:val="21"/>
        </w:rPr>
        <w:t>Azalea will develop an in-tandem local marketing plan timed to the national campaign - capturing the awareness it generates and converting it into local inquiries and referrals across the Tyler service area. The pairing of a national demand-generation engine with a focused local conversion plan is a differentiator no local competitor currently has, and it creates a credible path to take market share from the regional and national incumbents listed above.</w:t>
      </w:r>
    </w:p>
    <w:p>
      <w:r>
        <w:rPr>
          <w:b w:val="0"/>
          <w:i/>
          <w:sz w:val="19"/>
        </w:rPr>
        <w:t>Underwriting note: this is incremental upside. The financial projections in Section 11 remain conservative and assume no lift from the MVI certification or the national campaign; debt service is covered on the base-case census path without it. The certification represents potential growth above plan, not a dependency.</w:t>
      </w:r>
    </w:p>
    <w:p>
      <w:r>
        <w:br w:type="page"/>
      </w:r>
    </w:p>
    <w:p>
      <w:r>
        <w:rPr>
          <w:b/>
          <w:color w:val="1F3864"/>
          <w:sz w:val="30"/>
        </w:rPr>
        <w:t>05 - SWOT Analysis</w:t>
      </w:r>
    </w:p>
    <w:p>
      <w:r>
        <w:rPr>
          <w:b/>
          <w:color w:val="1F3864"/>
          <w:sz w:val="23"/>
        </w:rPr>
        <w:t>Strengths</w:t>
      </w:r>
    </w:p>
    <w:p>
      <w:r>
        <w:rPr>
          <w:b w:val="0"/>
          <w:i w:val="0"/>
          <w:sz w:val="21"/>
        </w:rPr>
        <w:t xml:space="preserve">  - Modeled on validated Tyler-market economics (~22 ADC, ~$118K/mo) benchmarked to actual local collections</w:t>
      </w:r>
    </w:p>
    <w:p>
      <w:r>
        <w:rPr>
          <w:b w:val="0"/>
          <w:i w:val="0"/>
          <w:sz w:val="21"/>
        </w:rPr>
        <w:t xml:space="preserve">  - Experienced clinical &amp; admin team already in seat, with deep East-Texas referral relationships</w:t>
      </w:r>
    </w:p>
    <w:p>
      <w:r>
        <w:rPr>
          <w:b w:val="0"/>
          <w:i w:val="0"/>
          <w:sz w:val="21"/>
        </w:rPr>
        <w:t xml:space="preserve">  - Acquired Medicare provider number (CHOW) - billing-ready from day one, no new-provider enrollment lag</w:t>
      </w:r>
    </w:p>
    <w:p>
      <w:r>
        <w:rPr>
          <w:b w:val="0"/>
          <w:i w:val="0"/>
          <w:sz w:val="21"/>
        </w:rPr>
        <w:t xml:space="preserve">  - Capital cushion - $372K opening cash reserve; seller paid at close so the SBA loan is the only debt</w:t>
      </w:r>
    </w:p>
    <w:p>
      <w:r>
        <w:rPr>
          <w:b w:val="0"/>
          <w:i w:val="0"/>
          <w:sz w:val="21"/>
        </w:rPr>
        <w:t xml:space="preserve">  - DSCR rises 3.23x -&gt; 10.76x across the plan; substantial $195K cash equity injection (26% of project)</w:t>
      </w:r>
    </w:p>
    <w:p>
      <w:r>
        <w:rPr>
          <w:b w:val="0"/>
          <w:i w:val="0"/>
          <w:sz w:val="21"/>
        </w:rPr>
        <w:t xml:space="preserve">  - Strong ownership alignment - operators hold equity (13.3% each); experienced multi-hospice Managing Member</w:t>
      </w:r>
    </w:p>
    <w:p>
      <w:r>
        <w:rPr>
          <w:b/>
          <w:color w:val="1F3864"/>
          <w:sz w:val="23"/>
        </w:rPr>
        <w:t>Weaknesses</w:t>
      </w:r>
    </w:p>
    <w:p>
      <w:r>
        <w:rPr>
          <w:b w:val="0"/>
          <w:i w:val="0"/>
          <w:sz w:val="21"/>
        </w:rPr>
        <w:t xml:space="preserve">  - Newco borrower with no operating history of its own (mitigated by the acquired agency's actuals and an experienced operator)</w:t>
      </w:r>
    </w:p>
    <w:p>
      <w:r>
        <w:rPr>
          <w:b w:val="0"/>
          <w:i w:val="0"/>
          <w:sz w:val="21"/>
        </w:rPr>
        <w:t xml:space="preserve">  - Revenue depends on converting the team's established relationships into admissions during ramp</w:t>
      </w:r>
    </w:p>
    <w:p>
      <w:r>
        <w:rPr>
          <w:b w:val="0"/>
          <w:i w:val="0"/>
          <w:sz w:val="21"/>
        </w:rPr>
        <w:t xml:space="preserve">  - Single-office, single-market concentration</w:t>
      </w:r>
    </w:p>
    <w:p>
      <w:r>
        <w:rPr>
          <w:b w:val="0"/>
          <w:i w:val="0"/>
          <w:sz w:val="21"/>
        </w:rPr>
        <w:t xml:space="preserve">  - Several go-forward cost adds (own lease, Medical Directors, benefits, marketing) not in the benchmarked actuals</w:t>
      </w:r>
    </w:p>
    <w:p>
      <w:r>
        <w:rPr>
          <w:b w:val="0"/>
          <w:i w:val="0"/>
          <w:sz w:val="21"/>
        </w:rPr>
        <w:t xml:space="preserve">  - Sensitivity to a sustained census shortfall (see Section 11.7 and the DSCR Sensitivity memo)</w:t>
      </w:r>
    </w:p>
    <w:p>
      <w:r>
        <w:rPr>
          <w:b w:val="0"/>
          <w:i w:val="0"/>
          <w:sz w:val="21"/>
        </w:rPr>
        <w:t xml:space="preserve">  - Managing Member's attention is split across other interests during launch</w:t>
      </w:r>
    </w:p>
    <w:p>
      <w:r>
        <w:rPr>
          <w:b/>
          <w:color w:val="1F3864"/>
          <w:sz w:val="23"/>
        </w:rPr>
        <w:t>Opportunities</w:t>
      </w:r>
    </w:p>
    <w:p>
      <w:r>
        <w:rPr>
          <w:b w:val="0"/>
          <w:i w:val="0"/>
          <w:sz w:val="21"/>
        </w:rPr>
        <w:t xml:space="preserve">  - Growing 65+ population (60,000+ Medicare-eligible) with above-average utilization</w:t>
      </w:r>
    </w:p>
    <w:p>
      <w:r>
        <w:rPr>
          <w:b w:val="0"/>
          <w:i w:val="0"/>
          <w:sz w:val="21"/>
        </w:rPr>
        <w:t xml:space="preserve">  - Base-case census growth to ~54 ADC by Year 3 from the team's referral pipeline; upside path to ~60 ADC</w:t>
      </w:r>
    </w:p>
    <w:p>
      <w:r>
        <w:rPr>
          <w:b w:val="0"/>
          <w:i w:val="0"/>
          <w:sz w:val="21"/>
        </w:rPr>
        <w:t xml:space="preserve">  - 70+ SNF/ALF facilities, many underserved by incumbents</w:t>
      </w:r>
    </w:p>
    <w:p>
      <w:r>
        <w:rPr>
          <w:b w:val="0"/>
          <w:i w:val="0"/>
          <w:sz w:val="21"/>
        </w:rPr>
        <w:t xml:space="preserve">  - Faith-based marketing to an extensive church and ministry network</w:t>
      </w:r>
    </w:p>
    <w:p>
      <w:r>
        <w:rPr>
          <w:b w:val="0"/>
          <w:i w:val="0"/>
          <w:sz w:val="21"/>
        </w:rPr>
        <w:t xml:space="preserve">  - Palliative-care consultation line as a Year 2-3 revenue diversifier</w:t>
      </w:r>
    </w:p>
    <w:p>
      <w:r>
        <w:rPr>
          <w:b w:val="0"/>
          <w:i w:val="0"/>
          <w:sz w:val="21"/>
        </w:rPr>
        <w:t xml:space="preserve">  - MVI 'Perfect Visit' / 'Perfect Phones' certification + Andrew Reid's national multi-platform campaign - national lead exposure for a local independent (upside, not in the base case)</w:t>
      </w:r>
    </w:p>
    <w:p>
      <w:r>
        <w:rPr>
          <w:b w:val="0"/>
          <w:i w:val="0"/>
          <w:sz w:val="21"/>
        </w:rPr>
        <w:t xml:space="preserve">  - CMS hospice rates have risen every year since 2010; model carries a conservative 2.5%/yr escalation</w:t>
      </w:r>
    </w:p>
    <w:p>
      <w:r>
        <w:rPr>
          <w:b/>
          <w:color w:val="1F3864"/>
          <w:sz w:val="23"/>
        </w:rPr>
        <w:t>Threats</w:t>
      </w:r>
    </w:p>
    <w:p>
      <w:r>
        <w:rPr>
          <w:b w:val="0"/>
          <w:i w:val="0"/>
          <w:sz w:val="21"/>
        </w:rPr>
        <w:t xml:space="preserve">  - National competitors with larger sales forces and budgets</w:t>
      </w:r>
    </w:p>
    <w:p>
      <w:r>
        <w:rPr>
          <w:b w:val="0"/>
          <w:i w:val="0"/>
          <w:sz w:val="21"/>
        </w:rPr>
        <w:t xml:space="preserve">  - CMS reimbursement or regulatory changes</w:t>
      </w:r>
    </w:p>
    <w:p>
      <w:r>
        <w:rPr>
          <w:b w:val="0"/>
          <w:i w:val="0"/>
          <w:sz w:val="21"/>
        </w:rPr>
        <w:t xml:space="preserve">  - Medicare Advantage hospice carve-in could shift referral dynamics</w:t>
      </w:r>
    </w:p>
    <w:p>
      <w:r>
        <w:rPr>
          <w:b w:val="0"/>
          <w:i w:val="0"/>
          <w:sz w:val="21"/>
        </w:rPr>
        <w:t xml:space="preserve">  - East Texas clinical labor shortage could pressure wages</w:t>
      </w:r>
    </w:p>
    <w:p>
      <w:r>
        <w:rPr>
          <w:b w:val="0"/>
          <w:i w:val="0"/>
          <w:sz w:val="21"/>
        </w:rPr>
        <w:t xml:space="preserve">  - Front-loaded ramp costs before census stabilizes; mitigated by the $372K reserve and light single-loan debt service</w:t>
      </w:r>
    </w:p>
    <w:p>
      <w:r>
        <w:br w:type="page"/>
      </w:r>
    </w:p>
    <w:p>
      <w:r>
        <w:rPr>
          <w:b/>
          <w:color w:val="1F3864"/>
          <w:sz w:val="30"/>
        </w:rPr>
        <w:t>06 - Marketing, Sales &amp; Referral Strategy</w:t>
      </w:r>
    </w:p>
    <w:p>
      <w:r>
        <w:rPr>
          <w:b w:val="0"/>
          <w:i w:val="0"/>
          <w:sz w:val="21"/>
        </w:rPr>
        <w:t>Hospice census in the Tyler market is relationship-driven. Azalea's strategy leverages the leadership team's established local referral relationships across five active development channels.</w:t>
      </w:r>
    </w:p>
    <w:p>
      <w:r>
        <w:rPr>
          <w:b/>
          <w:color w:val="1F3864"/>
          <w:sz w:val="23"/>
        </w:rPr>
        <w:t>6.1 Hospital referral channel</w:t>
      </w:r>
    </w:p>
    <w:p>
      <w:r>
        <w:rPr>
          <w:b w:val="0"/>
          <w:i w:val="0"/>
          <w:sz w:val="21"/>
        </w:rPr>
        <w:t>Discharge planners and case managers generate the highest referral volume. The Director of Sales (Woodard) maintains a structured weekly cadence: UT Health Tyler and CHRISTUS Trinity Mother Frances (2x/week each), UT Health North East and Texas Spine &amp; Joint (1x/week each), and bi-weekly touchpoints at regional hospitals. Tactics: in-services on hospice eligibility, branded referral materials, and a same-day admission-response protocol (clinical liaison dispatched within 60 minutes).</w:t>
      </w:r>
    </w:p>
    <w:p>
      <w:r>
        <w:rPr>
          <w:b/>
          <w:color w:val="1F3864"/>
          <w:sz w:val="23"/>
        </w:rPr>
        <w:t>6.2 SNF / ALF facility channel</w:t>
      </w:r>
    </w:p>
    <w:p>
      <w:r>
        <w:rPr>
          <w:b w:val="0"/>
          <w:i w:val="0"/>
          <w:sz w:val="21"/>
        </w:rPr>
        <w:t>Tier 1 covers the ~15 highest-census SNFs and ALFs/memory-care communities in the Tyler metro with weekly visits and a dedicated clinical liaison; Tier 2 covers the remaining 40+ SNFs and 20+ ALFs across the six-county service area with bi-weekly touchpoints. Quarterly facility in-services and pre-positioned election packets support consistent volume.</w:t>
      </w:r>
    </w:p>
    <w:p>
      <w:r>
        <w:rPr>
          <w:b/>
          <w:color w:val="1F3864"/>
          <w:sz w:val="23"/>
        </w:rPr>
        <w:t>6.3 Physician &amp; clinical channel</w:t>
      </w:r>
    </w:p>
    <w:p>
      <w:r>
        <w:rPr>
          <w:b w:val="0"/>
          <w:i w:val="0"/>
          <w:sz w:val="21"/>
        </w:rPr>
        <w:t>CE-accredited physician lunch-and-learns, direct educational outreach, an EHR-embedded referral pathway, and same-day response to physician referrals target the 200+ PCPs, oncologists, and organ-specialty physicians in the service area.</w:t>
      </w:r>
    </w:p>
    <w:p>
      <w:r>
        <w:rPr>
          <w:b/>
          <w:color w:val="1F3864"/>
          <w:sz w:val="23"/>
        </w:rPr>
        <w:t>6.4 Faith community &amp; pastoral care channel</w:t>
      </w:r>
    </w:p>
    <w:p>
      <w:r>
        <w:rPr>
          <w:b w:val="0"/>
          <w:i w:val="0"/>
          <w:sz w:val="21"/>
        </w:rPr>
        <w:t>Tyler's 200+ churches and pastoral networks are uniquely valuable referral and brand-building partners. Tactics: monthly pastor breakfasts, hospice education for church visitation teams, bereavement-workshop sponsorship, and chaplaincy partnerships with major hospitals.</w:t>
      </w:r>
    </w:p>
    <w:p>
      <w:r>
        <w:rPr>
          <w:b/>
          <w:color w:val="1F3864"/>
          <w:sz w:val="23"/>
        </w:rPr>
        <w:t>6.5 Marketing tactics &amp; budget</w:t>
      </w:r>
    </w:p>
    <w:p>
      <w:r>
        <w:rPr>
          <w:b w:val="0"/>
          <w:i w:val="0"/>
          <w:sz w:val="21"/>
        </w:rPr>
        <w:t>Digital: local SEO, Google Business Profile and review generation, Facebook/Instagram education and testimonial content to adults 45-75 within 50 miles, and Google Ads on high-intent hospice terms. Traditional &amp; community: quarterly educational mailers to SNFs/ALFs/physician offices, senior-focused print, branded admission books and referral pads, bereavement support groups, senior health fairs, and church health-ministry workshops. The model funds $3,000/mo ($36,000/yr) of marketing within fixed G&amp;A, sustained across all three years.</w:t>
      </w:r>
    </w:p>
    <w:p>
      <w:r>
        <w:rPr>
          <w:b w:val="0"/>
          <w:i w:val="0"/>
          <w:sz w:val="21"/>
        </w:rPr>
        <w:t>National co-marketing (upside): as an agency pursuing MVI 'Perfect Visit' and 'Perfect Phones' certification, Azalea will run an in-tandem local campaign timed to MVI's national, multi-platform advertising of certified hospice agencies (led by Andrew Reid) - local landing pages, geo-targeted digital, and referral-source outreach engineered to convert national awareness into Tyler-area leads. This sits on top of the budgeted spend above and is treated as upside; the base-case projections do not rely on it.</w:t>
      </w:r>
    </w:p>
    <w:p>
      <w:r>
        <w:rPr>
          <w:b/>
          <w:color w:val="1F3864"/>
          <w:sz w:val="23"/>
        </w:rPr>
        <w:t>6.6 Census model</w:t>
      </w:r>
    </w:p>
    <w:tbl>
      <w:tblPr>
        <w:tblStyle w:val="LightGrid-Accent1"/>
        <w:tblW w:type="auto" w:w="0"/>
        <w:jc w:val="left"/>
        <w:tblLook w:firstColumn="1" w:firstRow="1" w:lastColumn="0" w:lastRow="0" w:noHBand="0" w:noVBand="1" w:val="04A0"/>
      </w:tblPr>
      <w:tblGrid>
        <w:gridCol w:w="2880"/>
        <w:gridCol w:w="2880"/>
        <w:gridCol w:w="2880"/>
      </w:tblGrid>
      <w:tr>
        <w:tc>
          <w:tcPr>
            <w:tcW w:type="dxa" w:w="2592"/>
          </w:tcPr>
          <w:p>
            <w:r/>
            <w:r>
              <w:rPr>
                <w:b/>
                <w:sz w:val="19"/>
              </w:rPr>
              <w:t>Period</w:t>
            </w:r>
          </w:p>
        </w:tc>
        <w:tc>
          <w:tcPr>
            <w:tcW w:type="dxa" w:w="2304"/>
          </w:tcPr>
          <w:p>
            <w:r/>
            <w:r>
              <w:rPr>
                <w:b/>
                <w:sz w:val="19"/>
              </w:rPr>
              <w:t>Base ADC</w:t>
            </w:r>
          </w:p>
        </w:tc>
        <w:tc>
          <w:tcPr>
            <w:tcW w:type="dxa" w:w="4608"/>
          </w:tcPr>
          <w:p>
            <w:r/>
            <w:r>
              <w:rPr>
                <w:b/>
                <w:sz w:val="19"/>
              </w:rPr>
              <w:t>Primary channel</w:t>
            </w:r>
          </w:p>
        </w:tc>
      </w:tr>
      <w:tr>
        <w:tc>
          <w:tcPr>
            <w:tcW w:type="dxa" w:w="2592"/>
          </w:tcPr>
          <w:p>
            <w:r/>
            <w:r>
              <w:rPr>
                <w:sz w:val="19"/>
              </w:rPr>
              <w:t>Months 1-3 (launch)</w:t>
            </w:r>
          </w:p>
        </w:tc>
        <w:tc>
          <w:tcPr>
            <w:tcW w:type="dxa" w:w="2304"/>
          </w:tcPr>
          <w:p>
            <w:r/>
            <w:r>
              <w:rPr>
                <w:sz w:val="19"/>
              </w:rPr>
              <w:t>12 -&gt; 22</w:t>
            </w:r>
          </w:p>
        </w:tc>
        <w:tc>
          <w:tcPr>
            <w:tcW w:type="dxa" w:w="4608"/>
          </w:tcPr>
          <w:p>
            <w:r/>
            <w:r>
              <w:rPr>
                <w:sz w:val="19"/>
              </w:rPr>
              <w:t>Panel transition + team activation</w:t>
            </w:r>
          </w:p>
        </w:tc>
      </w:tr>
      <w:tr>
        <w:tc>
          <w:tcPr>
            <w:tcW w:type="dxa" w:w="2592"/>
          </w:tcPr>
          <w:p>
            <w:r/>
            <w:r>
              <w:rPr>
                <w:sz w:val="19"/>
              </w:rPr>
              <w:t>Months 4-12</w:t>
            </w:r>
          </w:p>
        </w:tc>
        <w:tc>
          <w:tcPr>
            <w:tcW w:type="dxa" w:w="2304"/>
          </w:tcPr>
          <w:p>
            <w:r/>
            <w:r>
              <w:rPr>
                <w:sz w:val="19"/>
              </w:rPr>
              <w:t>22 -&gt; 24</w:t>
            </w:r>
          </w:p>
        </w:tc>
        <w:tc>
          <w:tcPr>
            <w:tcW w:type="dxa" w:w="4608"/>
          </w:tcPr>
          <w:p>
            <w:r/>
            <w:r>
              <w:rPr>
                <w:sz w:val="19"/>
              </w:rPr>
              <w:t>Hospital + SNF/ALF</w:t>
            </w:r>
          </w:p>
        </w:tc>
      </w:tr>
      <w:tr>
        <w:tc>
          <w:tcPr>
            <w:tcW w:type="dxa" w:w="2592"/>
          </w:tcPr>
          <w:p>
            <w:r/>
            <w:r>
              <w:rPr>
                <w:sz w:val="19"/>
              </w:rPr>
              <w:t>Year 2</w:t>
            </w:r>
          </w:p>
        </w:tc>
        <w:tc>
          <w:tcPr>
            <w:tcW w:type="dxa" w:w="2304"/>
          </w:tcPr>
          <w:p>
            <w:r/>
            <w:r>
              <w:rPr>
                <w:sz w:val="19"/>
              </w:rPr>
              <w:t>~40 avg (30 -&gt; 50)</w:t>
            </w:r>
          </w:p>
        </w:tc>
        <w:tc>
          <w:tcPr>
            <w:tcW w:type="dxa" w:w="4608"/>
          </w:tcPr>
          <w:p>
            <w:r/>
            <w:r>
              <w:rPr>
                <w:sz w:val="19"/>
              </w:rPr>
              <w:t>All channels + faith</w:t>
            </w:r>
          </w:p>
        </w:tc>
      </w:tr>
      <w:tr>
        <w:tc>
          <w:tcPr>
            <w:tcW w:type="dxa" w:w="2592"/>
          </w:tcPr>
          <w:p>
            <w:r/>
            <w:r>
              <w:rPr>
                <w:sz w:val="19"/>
              </w:rPr>
              <w:t>Year 3</w:t>
            </w:r>
          </w:p>
        </w:tc>
        <w:tc>
          <w:tcPr>
            <w:tcW w:type="dxa" w:w="2304"/>
          </w:tcPr>
          <w:p>
            <w:r/>
            <w:r>
              <w:rPr>
                <w:sz w:val="19"/>
              </w:rPr>
              <w:t>~54 avg (51 -&gt; 56)</w:t>
            </w:r>
          </w:p>
        </w:tc>
        <w:tc>
          <w:tcPr>
            <w:tcW w:type="dxa" w:w="4608"/>
          </w:tcPr>
          <w:p>
            <w:r/>
            <w:r>
              <w:rPr>
                <w:sz w:val="19"/>
              </w:rPr>
              <w:t>All channels + organic</w:t>
            </w:r>
          </w:p>
        </w:tc>
      </w:tr>
    </w:tbl>
    <w:p>
      <w:r>
        <w:rPr>
          <w:b w:val="0"/>
          <w:i w:val="0"/>
          <w:sz w:val="21"/>
        </w:rPr>
        <w:t>All DSCR and repayment figures in Section 11 use this conservative base path. An upside path reaches ~60 ADC by Year 3 and is presented as scenario sensitivity.</w:t>
      </w:r>
    </w:p>
    <w:p>
      <w:r>
        <w:br w:type="page"/>
      </w:r>
    </w:p>
    <w:p>
      <w:r>
        <w:rPr>
          <w:b/>
          <w:color w:val="1F3864"/>
          <w:sz w:val="30"/>
        </w:rPr>
        <w:t>07 - Operations Plan</w:t>
      </w:r>
    </w:p>
    <w:p>
      <w:r>
        <w:rPr>
          <w:b/>
          <w:color w:val="1F3864"/>
          <w:sz w:val="23"/>
        </w:rPr>
        <w:t>7.1 Service lines &amp; clinical model</w:t>
      </w:r>
    </w:p>
    <w:p>
      <w:r>
        <w:rPr>
          <w:b w:val="0"/>
          <w:i w:val="0"/>
          <w:sz w:val="21"/>
        </w:rPr>
        <w:t>Azalea delivers Routine Home Care (RHC) at patient homes, ALFs, and SNFs, with access to GIP (contracted inpatient beds), CHC, and Inpatient Respite, plus 12-month bereavement support per Medicare CoP. Care is delivered by an interdisciplinary group (IDG) - RN case manager, medical director, hospice aide, social worker, chaplain - meeting every 15 days, with 24/7 RN on-call coverage. A QAPI program runs monthly KPI dashboards.</w:t>
      </w:r>
    </w:p>
    <w:p>
      <w:r>
        <w:rPr>
          <w:b/>
          <w:color w:val="1F3864"/>
          <w:sz w:val="23"/>
        </w:rPr>
        <w:t>7.2 Core staffing roster (Year 1)</w:t>
      </w:r>
    </w:p>
    <w:p>
      <w:r>
        <w:rPr>
          <w:b w:val="0"/>
          <w:i w:val="0"/>
          <w:sz w:val="21"/>
        </w:rPr>
        <w:t>Staggered W-2 hires plus a census-driven PRN pool. Employer burden of 18.27% applies to W-2 wages; health insurance is $550/employee/mo; Medical Directors are 1099 contractors. The Year-1 roster is sized to the opening ~22 ADC within hospice staffing ratios and includes the Executive Director, Director of Nursing, Director of Sales, RN case managers, a CNA/hospice aide, a Director of Business Development, an Office Manager, and a 1099 Medical Director.</w:t>
      </w:r>
    </w:p>
    <w:p>
      <w:r>
        <w:rPr>
          <w:b/>
          <w:color w:val="1F3864"/>
          <w:sz w:val="23"/>
        </w:rPr>
        <w:t>7.3 Capacity-driven hiring (Years 2-3)</w:t>
      </w:r>
    </w:p>
    <w:p>
      <w:r>
        <w:rPr>
          <w:b w:val="0"/>
          <w:i w:val="0"/>
          <w:sz w:val="21"/>
        </w:rPr>
        <w:t>As census grows toward ~54 ADC, the roster scales on census triggers (RN caseload 1:12; aide 1:10), converting PRN roles to salaried and adding compliance, intake, and volunteer-coordinator support. Second through sixth RN case managers and CNAs load in as ADC crosses their thresholds (Months 13-34); FT social worker, LVN, and chaplain convert from PRN (Months 14-18); a Quality/Compliance Manager, Intake Coordinator, and Volunteer Coordinator are added (Months 16-26); and a second Medical Director is added at Month 22. This is the fuller, more defensible direct-care build reflected in the current operating model.</w:t>
      </w:r>
    </w:p>
    <w:p>
      <w:r>
        <w:rPr>
          <w:b/>
          <w:color w:val="1F3864"/>
          <w:sz w:val="23"/>
        </w:rPr>
        <w:t>7.4 Facility &amp; technology</w:t>
      </w:r>
    </w:p>
    <w:p>
      <w:r>
        <w:rPr>
          <w:b w:val="0"/>
          <w:i w:val="0"/>
          <w:sz w:val="21"/>
        </w:rPr>
        <w:t>Principal office in the Tyler, TX area at $3,000/mo (a go-forward lease assumption). Hours M-F 8-5 with 24/7/365 on-call; ~45-mile service radius. EMR, PCR, and outsourced billing (1.5% of gross) run on the platform reflected in G&amp;A. Field travel is mileage-reimbursed initially; an owned fleet is evaluated in Year 2.</w:t>
      </w:r>
    </w:p>
    <w:p>
      <w:r>
        <w:br w:type="page"/>
      </w:r>
    </w:p>
    <w:p>
      <w:r>
        <w:rPr>
          <w:b/>
          <w:color w:val="1F3864"/>
          <w:sz w:val="30"/>
        </w:rPr>
        <w:t>08 - Management and Organization</w:t>
      </w:r>
    </w:p>
    <w:p>
      <w:r>
        <w:rPr>
          <w:b w:val="0"/>
          <w:i w:val="0"/>
          <w:sz w:val="21"/>
        </w:rPr>
        <w:t>Azalea is operated by an experienced, already-seated team whose established East-Texas referral relationships are a key de-risking factor. Officer salaries are fully loaded into the operating model as expenses (no compensation is omitted, per SBA requirements).</w:t>
      </w:r>
    </w:p>
    <w:p>
      <w:r>
        <w:rPr>
          <w:b/>
          <w:color w:val="1F3864"/>
          <w:sz w:val="23"/>
        </w:rPr>
        <w:t>8.1 Ownership &amp; reporting structure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3456"/>
          </w:tcPr>
          <w:p>
            <w:r/>
            <w:r>
              <w:rPr>
                <w:b/>
                <w:sz w:val="19"/>
              </w:rPr>
              <w:t>Entity / person</w:t>
            </w:r>
          </w:p>
        </w:tc>
        <w:tc>
          <w:tcPr>
            <w:tcW w:type="dxa" w:w="2736"/>
          </w:tcPr>
          <w:p>
            <w:r/>
            <w:r>
              <w:rPr>
                <w:b/>
                <w:sz w:val="19"/>
              </w:rPr>
              <w:t>Role</w:t>
            </w:r>
          </w:p>
        </w:tc>
        <w:tc>
          <w:tcPr>
            <w:tcW w:type="dxa" w:w="1296"/>
          </w:tcPr>
          <w:p>
            <w:r/>
            <w:r>
              <w:rPr>
                <w:b/>
                <w:sz w:val="19"/>
              </w:rPr>
              <w:t>Interest</w:t>
            </w:r>
          </w:p>
        </w:tc>
        <w:tc>
          <w:tcPr>
            <w:tcW w:type="dxa" w:w="2304"/>
          </w:tcPr>
          <w:p>
            <w:r/>
            <w:r>
              <w:rPr>
                <w:b/>
                <w:sz w:val="19"/>
              </w:rPr>
              <w:t>Reports to</w:t>
            </w:r>
          </w:p>
        </w:tc>
      </w:tr>
      <w:tr>
        <w:tc>
          <w:tcPr>
            <w:tcW w:type="dxa" w:w="3456"/>
          </w:tcPr>
          <w:p>
            <w:r/>
            <w:r>
              <w:rPr>
                <w:sz w:val="19"/>
              </w:rPr>
              <w:t>Adeline &amp; Lilah, LLC - Geoff Schackmann</w:t>
            </w:r>
          </w:p>
        </w:tc>
        <w:tc>
          <w:tcPr>
            <w:tcW w:type="dxa" w:w="2736"/>
          </w:tcPr>
          <w:p>
            <w:r/>
            <w:r>
              <w:rPr>
                <w:sz w:val="19"/>
              </w:rPr>
              <w:t>Managing Member (holding co.)</w:t>
            </w:r>
          </w:p>
        </w:tc>
        <w:tc>
          <w:tcPr>
            <w:tcW w:type="dxa" w:w="1296"/>
          </w:tcPr>
          <w:p>
            <w:r/>
            <w:r>
              <w:rPr>
                <w:sz w:val="19"/>
              </w:rPr>
              <w:t>39.9%</w:t>
            </w:r>
          </w:p>
        </w:tc>
        <w:tc>
          <w:tcPr>
            <w:tcW w:type="dxa" w:w="2304"/>
          </w:tcPr>
          <w:p>
            <w:r/>
            <w:r>
              <w:rPr>
                <w:sz w:val="19"/>
              </w:rPr>
              <w:t>-</w:t>
            </w:r>
          </w:p>
        </w:tc>
      </w:tr>
      <w:tr>
        <w:tc>
          <w:tcPr>
            <w:tcW w:type="dxa" w:w="3456"/>
          </w:tcPr>
          <w:p>
            <w:r/>
            <w:r>
              <w:rPr>
                <w:sz w:val="19"/>
              </w:rPr>
              <w:t>Silas R. Shelton</w:t>
            </w:r>
          </w:p>
        </w:tc>
        <w:tc>
          <w:tcPr>
            <w:tcW w:type="dxa" w:w="2736"/>
          </w:tcPr>
          <w:p>
            <w:r/>
            <w:r>
              <w:rPr>
                <w:sz w:val="19"/>
              </w:rPr>
              <w:t>Executive Director</w:t>
            </w:r>
          </w:p>
        </w:tc>
        <w:tc>
          <w:tcPr>
            <w:tcW w:type="dxa" w:w="1296"/>
          </w:tcPr>
          <w:p>
            <w:r/>
            <w:r>
              <w:rPr>
                <w:sz w:val="19"/>
              </w:rPr>
              <w:t>13.3%</w:t>
            </w:r>
          </w:p>
        </w:tc>
        <w:tc>
          <w:tcPr>
            <w:tcW w:type="dxa" w:w="2304"/>
          </w:tcPr>
          <w:p>
            <w:r/>
            <w:r>
              <w:rPr>
                <w:sz w:val="19"/>
              </w:rPr>
              <w:t>Managing Member</w:t>
            </w:r>
          </w:p>
        </w:tc>
      </w:tr>
      <w:tr>
        <w:tc>
          <w:tcPr>
            <w:tcW w:type="dxa" w:w="3456"/>
          </w:tcPr>
          <w:p>
            <w:r/>
            <w:r>
              <w:rPr>
                <w:sz w:val="19"/>
              </w:rPr>
              <w:t>Dana L. Davenport</w:t>
            </w:r>
          </w:p>
        </w:tc>
        <w:tc>
          <w:tcPr>
            <w:tcW w:type="dxa" w:w="2736"/>
          </w:tcPr>
          <w:p>
            <w:r/>
            <w:r>
              <w:rPr>
                <w:sz w:val="19"/>
              </w:rPr>
              <w:t>Director of Nursing</w:t>
            </w:r>
          </w:p>
        </w:tc>
        <w:tc>
          <w:tcPr>
            <w:tcW w:type="dxa" w:w="1296"/>
          </w:tcPr>
          <w:p>
            <w:r/>
            <w:r>
              <w:rPr>
                <w:sz w:val="19"/>
              </w:rPr>
              <w:t>13.3%</w:t>
            </w:r>
          </w:p>
        </w:tc>
        <w:tc>
          <w:tcPr>
            <w:tcW w:type="dxa" w:w="2304"/>
          </w:tcPr>
          <w:p>
            <w:r/>
            <w:r>
              <w:rPr>
                <w:sz w:val="19"/>
              </w:rPr>
              <w:t>Executive Director</w:t>
            </w:r>
          </w:p>
        </w:tc>
      </w:tr>
      <w:tr>
        <w:tc>
          <w:tcPr>
            <w:tcW w:type="dxa" w:w="3456"/>
          </w:tcPr>
          <w:p>
            <w:r/>
            <w:r>
              <w:rPr>
                <w:sz w:val="19"/>
              </w:rPr>
              <w:t>Bradley G. Woodard</w:t>
            </w:r>
          </w:p>
        </w:tc>
        <w:tc>
          <w:tcPr>
            <w:tcW w:type="dxa" w:w="2736"/>
          </w:tcPr>
          <w:p>
            <w:r/>
            <w:r>
              <w:rPr>
                <w:sz w:val="19"/>
              </w:rPr>
              <w:t>Director of Sales</w:t>
            </w:r>
          </w:p>
        </w:tc>
        <w:tc>
          <w:tcPr>
            <w:tcW w:type="dxa" w:w="1296"/>
          </w:tcPr>
          <w:p>
            <w:r/>
            <w:r>
              <w:rPr>
                <w:sz w:val="19"/>
              </w:rPr>
              <w:t>13.3%</w:t>
            </w:r>
          </w:p>
        </w:tc>
        <w:tc>
          <w:tcPr>
            <w:tcW w:type="dxa" w:w="2304"/>
          </w:tcPr>
          <w:p>
            <w:r/>
            <w:r>
              <w:rPr>
                <w:sz w:val="19"/>
              </w:rPr>
              <w:t>Executive Director</w:t>
            </w:r>
          </w:p>
        </w:tc>
      </w:tr>
      <w:tr>
        <w:tc>
          <w:tcPr>
            <w:tcW w:type="dxa" w:w="3456"/>
          </w:tcPr>
          <w:p>
            <w:r/>
            <w:r>
              <w:rPr>
                <w:sz w:val="19"/>
              </w:rPr>
              <w:t>James E. Bullard</w:t>
            </w:r>
          </w:p>
        </w:tc>
        <w:tc>
          <w:tcPr>
            <w:tcW w:type="dxa" w:w="2736"/>
          </w:tcPr>
          <w:p>
            <w:r/>
            <w:r>
              <w:rPr>
                <w:sz w:val="19"/>
              </w:rPr>
              <w:t>Passive minority investor</w:t>
            </w:r>
          </w:p>
        </w:tc>
        <w:tc>
          <w:tcPr>
            <w:tcW w:type="dxa" w:w="1296"/>
          </w:tcPr>
          <w:p>
            <w:r/>
            <w:r>
              <w:rPr>
                <w:sz w:val="19"/>
              </w:rPr>
              <w:t>19.5%</w:t>
            </w:r>
          </w:p>
        </w:tc>
        <w:tc>
          <w:tcPr>
            <w:tcW w:type="dxa" w:w="2304"/>
          </w:tcPr>
          <w:p>
            <w:r/>
            <w:r>
              <w:rPr>
                <w:sz w:val="19"/>
              </w:rPr>
              <w:t>No operational role</w:t>
            </w:r>
          </w:p>
        </w:tc>
      </w:tr>
    </w:tbl>
    <w:p>
      <w:r>
        <w:rPr>
          <w:b w:val="0"/>
          <w:i w:val="0"/>
          <w:sz w:val="21"/>
        </w:rPr>
        <w:t>Tyler Hospice HoldCo L.L.C. (Wyoming holding company) owns 100% of Hickory Hospice LLC (Texas operating subsidiary), which does business as Azalea Hospice &amp; Palliative Care. The Executive Director leads operations; the Director of Nursing leads the clinical team; the Director of Sales leads business development. Mr. Bullard is a passive investor with protective minority rights but no management authority or signing power.</w:t>
      </w:r>
    </w:p>
    <w:p>
      <w:r>
        <w:rPr>
          <w:b/>
          <w:color w:val="1F3864"/>
          <w:sz w:val="23"/>
        </w:rPr>
        <w:t>8.2 Decision authority</w:t>
      </w:r>
    </w:p>
    <w:p>
      <w:r>
        <w:rPr>
          <w:b w:val="0"/>
          <w:i w:val="0"/>
          <w:sz w:val="21"/>
        </w:rPr>
        <w:t xml:space="preserve">  - Operating within budget ($0-$10K): Executive Director (Shelton)</w:t>
      </w:r>
    </w:p>
    <w:p>
      <w:r>
        <w:rPr>
          <w:b w:val="0"/>
          <w:i w:val="0"/>
          <w:sz w:val="21"/>
        </w:rPr>
        <w:t xml:space="preserve">  - Above $10K or out-of-budget: Managing Member (Schackmann, via Adeline &amp; Lilah)</w:t>
      </w:r>
    </w:p>
    <w:p>
      <w:r>
        <w:rPr>
          <w:b w:val="0"/>
          <w:i w:val="0"/>
          <w:sz w:val="21"/>
        </w:rPr>
        <w:t xml:space="preserve">  - Clinical / regulatory: Director of Nursing (Davenport), escalated to Executive Director + Medical Director</w:t>
      </w:r>
    </w:p>
    <w:p>
      <w:r>
        <w:rPr>
          <w:b w:val="0"/>
          <w:i w:val="0"/>
          <w:sz w:val="21"/>
        </w:rPr>
        <w:t xml:space="preserve">  - Hiring / firing senior staff: Executive Director, with Managing Member concurrence</w:t>
      </w:r>
    </w:p>
    <w:p>
      <w:r>
        <w:rPr>
          <w:b w:val="0"/>
          <w:i w:val="0"/>
          <w:sz w:val="21"/>
        </w:rPr>
        <w:t xml:space="preserve">  - Strategic / capital / acquisition: Managing Member</w:t>
      </w:r>
    </w:p>
    <w:p>
      <w:r>
        <w:rPr>
          <w:b w:val="0"/>
          <w:i w:val="0"/>
          <w:sz w:val="21"/>
        </w:rPr>
        <w:t xml:space="preserve">  - Bank account signatures: Managing Member (sole signer)</w:t>
      </w:r>
    </w:p>
    <w:p>
      <w:r>
        <w:rPr>
          <w:b/>
          <w:color w:val="1F3864"/>
          <w:sz w:val="23"/>
        </w:rPr>
        <w:t>8.3 Equity vesting (operator-members)</w:t>
      </w:r>
    </w:p>
    <w:p>
      <w:r>
        <w:rPr>
          <w:b w:val="0"/>
          <w:i w:val="0"/>
          <w:sz w:val="21"/>
        </w:rPr>
        <w:t>Each operator-member's 13.3% interest is a Restricted Interest under the Operating Agreement. The entire 13.3% is at risk and forfeitable until vested. It comprises a 4.9% Initial Base that time-vests on continuous service (four-year schedule, one-year cliff) and an 8.4% Earn-Up Portion that vests only on a dual trigger: a four-year time-vesting schedule with a one-year cliff AND the performance milestones (25% at Breakeven, 50% at three consecutive Profitable months, 25% at twelve consecutive Profitable months), with the lesser of the two schedules governing - so no portion is vested at inception and each operator may earn up to a fully-vested 13.3%. Each grantee files a timely IRC Section 83(b) election. On departure, unvested interests are forfeited at $0; the Company holds a repurchase (call) right over vested interests - at fair market value for a good-leaver separation (termination without cause, death, disability, or retirement) and at the lower of cost or fair market value for a bad-leaver separation (resignation before full vesting, or termination for cause), paid via an SBA-subordinated note. This keeps operator equity aligned with the credit's performance and ensures departed operators do not retain equity in the company.</w:t>
      </w:r>
    </w:p>
    <w:p>
      <w:r>
        <w:br w:type="page"/>
      </w:r>
    </w:p>
    <w:p>
      <w:r>
        <w:rPr>
          <w:b/>
          <w:color w:val="1F3864"/>
          <w:sz w:val="30"/>
        </w:rPr>
        <w:t>09 - Leadership Team</w:t>
      </w:r>
    </w:p>
    <w:p>
      <w:r>
        <w:rPr>
          <w:b/>
          <w:color w:val="1F3864"/>
          <w:sz w:val="23"/>
        </w:rPr>
        <w:t>Geoff Schackmann - Managing Member (via Adeline &amp; Lilah, LLC, 39.9%)</w:t>
      </w:r>
    </w:p>
    <w:p>
      <w:r>
        <w:rPr>
          <w:b w:val="0"/>
          <w:i w:val="0"/>
          <w:sz w:val="21"/>
        </w:rPr>
        <w:t>Multi-hospice operator and transaction-led growth leader with operational responsibility for Medicare-certified hospice and palliative-care agencies across multiple states. Co-owner and Managing Member of Adeline &amp; Lilah, LLC (AZ), the holding entity through which equity in Tyler Hospice HoldCo is held. Direct experience includes change-of-ownership (CHOW) transactions and post-CHOW enrollment oversight, census growth from sub-30 to 100+ ADC under existing Medicare provider numbers, multi-site clinical operations under Texas HCSSA and Oregon hospice licensure, CHAP and Joint Commission accreditation, acquisition due diligence (clinical, financial, regulatory), and lender/investor relationships across SBA 7(a), conventional, and mezzanine structures. Leads transaction structuring, financing, capital allocation, and post-close integration. Sole 20%+ owner and SBA personal guarantor.</w:t>
      </w:r>
    </w:p>
    <w:p>
      <w:r>
        <w:rPr>
          <w:b/>
          <w:color w:val="1F3864"/>
          <w:sz w:val="23"/>
        </w:rPr>
        <w:t>Bradley G. Woodard - Director of Sales (13.3%)</w:t>
      </w:r>
    </w:p>
    <w:p>
      <w:r>
        <w:rPr>
          <w:b w:val="0"/>
          <w:i w:val="0"/>
          <w:sz w:val="21"/>
        </w:rPr>
        <w:t>More than 25 years of East-Texas hospice business development and administration. Founding administrator of one of the Tyler market's largest hospices (licensed 2004; grown to 220 patients, 109 employees, and 62 volunteers), with subsequent census-building roles across multiple East-Texas agencies - including start-ups in Lufkin/Nacogdoches (0-&gt;48 in six months; 12-&gt;70+) and Grace Hospice of East Texas (8-&gt;145+). Most recently VP of Business Development for an East-Texas hospice (2021-present), sustaining a 40+ ADC book for 4.5 years, with no non-compete restricting his transition to Azalea. Licensed Nursing Home Administrator (LNFA #7136); B.S., Texas A&amp;M University.</w:t>
      </w:r>
    </w:p>
    <w:p>
      <w:r>
        <w:rPr>
          <w:b/>
          <w:color w:val="1F3864"/>
          <w:sz w:val="23"/>
        </w:rPr>
        <w:t>Silas R. Shelton - Executive Director (13.3%)</w:t>
      </w:r>
    </w:p>
    <w:p>
      <w:r>
        <w:rPr>
          <w:b w:val="0"/>
          <w:i w:val="0"/>
          <w:sz w:val="21"/>
        </w:rPr>
        <w:t>Operational leadership of Azalea Hospice &amp; Palliative Care, with day-to-day responsibility for regulatory compliance under Texas HCSSA and the Medicare Conditions of Participation, payer-mix management, referral-source partnerships across Smith County and surrounding East-Texas counties, and overall site leadership. Direct reports include the Director of Nursing, the Director of Sales, and the full clinical and operational team.</w:t>
      </w:r>
    </w:p>
    <w:p>
      <w:r>
        <w:rPr>
          <w:b/>
          <w:color w:val="1F3864"/>
          <w:sz w:val="23"/>
        </w:rPr>
        <w:t>Dana L. Davenport - Director of Nursing (13.3%)</w:t>
      </w:r>
    </w:p>
    <w:p>
      <w:r>
        <w:rPr>
          <w:b w:val="0"/>
          <w:i w:val="0"/>
          <w:sz w:val="21"/>
        </w:rPr>
        <w:t>Clinical leadership of the Azalea nursing team, responsible for Medicare Conditions of Participation compliance, interdisciplinary group (IDG) oversight, plan-of-care management, and clinical quality (QAPI). Leads RN case managers, hospice aides, social workers, and chaplains across the service area.</w:t>
      </w:r>
    </w:p>
    <w:p>
      <w:r>
        <w:rPr>
          <w:b/>
          <w:color w:val="1F3864"/>
          <w:sz w:val="23"/>
        </w:rPr>
        <w:t>Investor</w:t>
      </w:r>
    </w:p>
    <w:p>
      <w:r>
        <w:rPr>
          <w:b w:val="0"/>
          <w:i w:val="0"/>
          <w:sz w:val="21"/>
        </w:rPr>
        <w:t>James E. Bullard is a passive minority investor holding a 19.5% membership interest acquired for a $195,000 cash capital contribution (his own savings). He holds customary protective minority rights (information rights, anti-dilution with a 19.5% floor, voting on a defined set of fundamental Reserved Matters, and tag-along rights) but has no management authority, no operational or clinical role, and no signing power. His consent is not required for SBA-loan actions, and his buy-sell rights are suspended while the SBA loan is outstanding. As a sub-20% non-controlling member, he provides no SBA personal guaranty (13 CFR 120.160).</w:t>
      </w:r>
    </w:p>
    <w:p>
      <w:r>
        <w:br w:type="page"/>
      </w:r>
    </w:p>
    <w:p>
      <w:r>
        <w:rPr>
          <w:b/>
          <w:color w:val="1F3864"/>
          <w:sz w:val="30"/>
        </w:rPr>
        <w:t>10 - Acquisition and Launch Strategy</w:t>
      </w:r>
    </w:p>
    <w:p>
      <w:r>
        <w:rPr>
          <w:b/>
          <w:color w:val="1F3864"/>
          <w:sz w:val="23"/>
        </w:rPr>
        <w:t>10.1 Acquisition &amp; CHOW structure</w:t>
      </w:r>
    </w:p>
    <w:p>
      <w:r>
        <w:rPr>
          <w:b w:val="0"/>
          <w:i w:val="0"/>
          <w:sz w:val="21"/>
        </w:rPr>
        <w:t>The transaction is the acquisition of Hickory Hospice LLC - an established, Medicare-certified hospice currently owned by Tracy Gleason and Ann Lozano - structured as a Medicare change of ownership (CHOW) by purchase of 100% of its membership interests. The $300,000 purchase price is paid in full at close from SBA proceeds and the equity injection (no retained seller note). Hickory's existing Medicare provider number, state license, and CHAP/ACHC accreditation carry over to Azalea, so the agency is billing-ready from day one rather than waiting on a new-provider 855A enrollment. Azalea files the CMS-855A change of ownership and updates banking, EMR, and insurance into the new ownership structure.</w:t>
      </w:r>
    </w:p>
    <w:p>
      <w:r>
        <w:rPr>
          <w:b/>
          <w:color w:val="1F3864"/>
          <w:sz w:val="23"/>
        </w:rPr>
        <w:t>10.2 Revenue continuity</w:t>
      </w:r>
    </w:p>
    <w:p>
      <w:r>
        <w:rPr>
          <w:b w:val="0"/>
          <w:i w:val="0"/>
          <w:sz w:val="21"/>
        </w:rPr>
        <w:t>Because the CHOW preserves the existing provider number, the patient panel, care team, and referral relationships transfer intact - revenue continues without the gap a cold-start de-novo would face. The model's economics are benchmarked to actual collections rather than to speculative new-admit forecasts, so the opening ramp toward ~22 ADC carries materially less uncertainty, and growth above that level is driven by the team's own referral pipeline.</w:t>
      </w:r>
    </w:p>
    <w:p>
      <w:r>
        <w:rPr>
          <w:b/>
          <w:color w:val="1F3864"/>
          <w:sz w:val="23"/>
        </w:rPr>
        <w:t>10.3 Affiliate disclosure</w:t>
      </w:r>
    </w:p>
    <w:p>
      <w:r>
        <w:rPr>
          <w:b w:val="0"/>
          <w:i w:val="0"/>
          <w:sz w:val="21"/>
        </w:rPr>
        <w:t>The borrower's affiliate group consists of the borrower, its wholly owned operating subsidiary Hickory Hospice LLC, and the non-operating holding entity Adeline &amp; Lilah, LLC - well within the applicable SBA size standard. The Managing Member previously held a 33.33% interest in VistaRiver Inc, which he sold in August 2025; he retains only a passive seller-note receivable (no equity, officer, manager, or employee role), so VistaRiver is not an SBA affiliate. A separate Affiliate and Size-Standard memorandum is included in the application package.</w:t>
      </w:r>
    </w:p>
    <w:p>
      <w:r>
        <w:rPr>
          <w:b/>
          <w:color w:val="1F3864"/>
          <w:sz w:val="23"/>
        </w:rPr>
        <w:t>10.4 Launch timeline &amp; equity-injection coordination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016"/>
          </w:tcPr>
          <w:p>
            <w:r/>
            <w:r>
              <w:rPr>
                <w:b/>
                <w:sz w:val="19"/>
              </w:rPr>
              <w:t>Window</w:t>
            </w:r>
          </w:p>
        </w:tc>
        <w:tc>
          <w:tcPr>
            <w:tcW w:type="dxa" w:w="1872"/>
          </w:tcPr>
          <w:p>
            <w:r/>
            <w:r>
              <w:rPr>
                <w:b/>
                <w:sz w:val="19"/>
              </w:rPr>
              <w:t>Phase</w:t>
            </w:r>
          </w:p>
        </w:tc>
        <w:tc>
          <w:tcPr>
            <w:tcW w:type="dxa" w:w="5616"/>
          </w:tcPr>
          <w:p>
            <w:r/>
            <w:r>
              <w:rPr>
                <w:b/>
                <w:sz w:val="19"/>
              </w:rPr>
              <w:t>Key activities</w:t>
            </w:r>
          </w:p>
        </w:tc>
      </w:tr>
      <w:tr>
        <w:tc>
          <w:tcPr>
            <w:tcW w:type="dxa" w:w="2016"/>
          </w:tcPr>
          <w:p>
            <w:r/>
            <w:r>
              <w:rPr>
                <w:sz w:val="19"/>
              </w:rPr>
              <w:t>Through July 2026</w:t>
            </w:r>
          </w:p>
        </w:tc>
        <w:tc>
          <w:tcPr>
            <w:tcW w:type="dxa" w:w="1872"/>
          </w:tcPr>
          <w:p>
            <w:r/>
            <w:r>
              <w:rPr>
                <w:sz w:val="19"/>
              </w:rPr>
              <w:t>Equity injection</w:t>
            </w:r>
          </w:p>
        </w:tc>
        <w:tc>
          <w:tcPr>
            <w:tcW w:type="dxa" w:w="5616"/>
          </w:tcPr>
          <w:p>
            <w:r/>
            <w:r>
              <w:rPr>
                <w:sz w:val="19"/>
              </w:rPr>
              <w:t>Bullard funds the $195,000 in two tranches ($100K received 5/7/2026; balance by 7/31/2026)</w:t>
            </w:r>
          </w:p>
        </w:tc>
      </w:tr>
      <w:tr>
        <w:tc>
          <w:tcPr>
            <w:tcW w:type="dxa" w:w="2016"/>
          </w:tcPr>
          <w:p>
            <w:r/>
            <w:r>
              <w:rPr>
                <w:sz w:val="19"/>
              </w:rPr>
              <w:t>Late July 2026</w:t>
            </w:r>
          </w:p>
        </w:tc>
        <w:tc>
          <w:tcPr>
            <w:tcW w:type="dxa" w:w="1872"/>
          </w:tcPr>
          <w:p>
            <w:r/>
            <w:r>
              <w:rPr>
                <w:sz w:val="19"/>
              </w:rPr>
              <w:t>Close &amp; stand-up</w:t>
            </w:r>
          </w:p>
        </w:tc>
        <w:tc>
          <w:tcPr>
            <w:tcW w:type="dxa" w:w="5616"/>
          </w:tcPr>
          <w:p>
            <w:r/>
            <w:r>
              <w:rPr>
                <w:sz w:val="19"/>
              </w:rPr>
              <w:t>Close Hickory CHOW after full injection on deposit; update banking (CMS-588 EFT), EMR, insurance; staff retention/credentialing</w:t>
            </w:r>
          </w:p>
        </w:tc>
      </w:tr>
      <w:tr>
        <w:tc>
          <w:tcPr>
            <w:tcW w:type="dxa" w:w="2016"/>
          </w:tcPr>
          <w:p>
            <w:r/>
            <w:r>
              <w:rPr>
                <w:sz w:val="19"/>
              </w:rPr>
              <w:t>Days 1-90 post-close</w:t>
            </w:r>
          </w:p>
        </w:tc>
        <w:tc>
          <w:tcPr>
            <w:tcW w:type="dxa" w:w="1872"/>
          </w:tcPr>
          <w:p>
            <w:r/>
            <w:r>
              <w:rPr>
                <w:sz w:val="19"/>
              </w:rPr>
              <w:t>855A CHOW</w:t>
            </w:r>
          </w:p>
        </w:tc>
        <w:tc>
          <w:tcPr>
            <w:tcW w:type="dxa" w:w="5616"/>
          </w:tcPr>
          <w:p>
            <w:r/>
            <w:r>
              <w:rPr>
                <w:sz w:val="19"/>
              </w:rPr>
              <w:t>File CMS-855A; CMS updates the provider number to Azalea; license &amp; accreditation transfer confirmed; billing uninterrupted</w:t>
            </w:r>
          </w:p>
        </w:tc>
      </w:tr>
      <w:tr>
        <w:tc>
          <w:tcPr>
            <w:tcW w:type="dxa" w:w="2016"/>
          </w:tcPr>
          <w:p>
            <w:r/>
            <w:r>
              <w:rPr>
                <w:sz w:val="19"/>
              </w:rPr>
              <w:t>Days 30-120</w:t>
            </w:r>
          </w:p>
        </w:tc>
        <w:tc>
          <w:tcPr>
            <w:tcW w:type="dxa" w:w="1872"/>
          </w:tcPr>
          <w:p>
            <w:r/>
            <w:r>
              <w:rPr>
                <w:sz w:val="19"/>
              </w:rPr>
              <w:t>BD ramp</w:t>
            </w:r>
          </w:p>
        </w:tc>
        <w:tc>
          <w:tcPr>
            <w:tcW w:type="dxa" w:w="5616"/>
          </w:tcPr>
          <w:p>
            <w:r/>
            <w:r>
              <w:rPr>
                <w:sz w:val="19"/>
              </w:rPr>
              <w:t>Woodard-led weekly referral cadence; digital marketing live; AR normalizes to ~45-day Medicare cycle</w:t>
            </w:r>
          </w:p>
        </w:tc>
      </w:tr>
      <w:tr>
        <w:tc>
          <w:tcPr>
            <w:tcW w:type="dxa" w:w="2016"/>
          </w:tcPr>
          <w:p>
            <w:r/>
            <w:r>
              <w:rPr>
                <w:sz w:val="19"/>
              </w:rPr>
              <w:t>Day 120+</w:t>
            </w:r>
          </w:p>
        </w:tc>
        <w:tc>
          <w:tcPr>
            <w:tcW w:type="dxa" w:w="1872"/>
          </w:tcPr>
          <w:p>
            <w:r/>
            <w:r>
              <w:rPr>
                <w:sz w:val="19"/>
              </w:rPr>
              <w:t>Growth</w:t>
            </w:r>
          </w:p>
        </w:tc>
        <w:tc>
          <w:tcPr>
            <w:tcW w:type="dxa" w:w="5616"/>
          </w:tcPr>
          <w:p>
            <w:r/>
            <w:r>
              <w:rPr>
                <w:sz w:val="19"/>
              </w:rPr>
              <w:t>Census builds with the referral pipeline; capacity hires triggered by ADC thresholds; DSCR &gt; 1.25x and rising</w:t>
            </w:r>
          </w:p>
        </w:tc>
      </w:tr>
    </w:tbl>
    <w:p>
      <w:r>
        <w:rPr>
          <w:b w:val="0"/>
          <w:i/>
          <w:sz w:val="19"/>
        </w:rPr>
        <w:t>SBA disbursement is sequenced to occur with the full $195,000 equity injection on deposit, in compliance with SOP 50 10 8.</w:t>
      </w:r>
    </w:p>
    <w:p>
      <w:r>
        <w:br w:type="page"/>
      </w:r>
    </w:p>
    <w:p>
      <w:r>
        <w:rPr>
          <w:b/>
          <w:color w:val="1F3864"/>
          <w:sz w:val="30"/>
        </w:rPr>
        <w:t>11 - Financial Plan and Projections</w:t>
      </w:r>
    </w:p>
    <w:p>
      <w:r>
        <w:rPr>
          <w:b/>
          <w:color w:val="1F3864"/>
          <w:sz w:val="23"/>
        </w:rPr>
        <w:t>11.1-11.2 Sources &amp; uses of funds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3168"/>
          </w:tcPr>
          <w:p>
            <w:r/>
            <w:r>
              <w:rPr>
                <w:b/>
                <w:sz w:val="19"/>
              </w:rPr>
              <w:t>Source</w:t>
            </w:r>
          </w:p>
        </w:tc>
        <w:tc>
          <w:tcPr>
            <w:tcW w:type="dxa" w:w="1584"/>
          </w:tcPr>
          <w:p>
            <w:r/>
            <w:r>
              <w:rPr>
                <w:b/>
                <w:sz w:val="19"/>
              </w:rPr>
              <w:t>Amount</w:t>
            </w:r>
          </w:p>
        </w:tc>
        <w:tc>
          <w:tcPr>
            <w:tcW w:type="dxa" w:w="3744"/>
          </w:tcPr>
          <w:p>
            <w:r/>
            <w:r>
              <w:rPr>
                <w:b/>
                <w:sz w:val="19"/>
              </w:rPr>
              <w:t>Use</w:t>
            </w:r>
          </w:p>
        </w:tc>
        <w:tc>
          <w:tcPr>
            <w:tcW w:type="dxa" w:w="1584"/>
          </w:tcPr>
          <w:p>
            <w:r/>
            <w:r>
              <w:rPr>
                <w:b/>
                <w:sz w:val="19"/>
              </w:rPr>
              <w:t>Amount</w:t>
            </w:r>
          </w:p>
        </w:tc>
      </w:tr>
      <w:tr>
        <w:tc>
          <w:tcPr>
            <w:tcW w:type="dxa" w:w="3168"/>
          </w:tcPr>
          <w:p>
            <w:r/>
            <w:r>
              <w:rPr>
                <w:sz w:val="19"/>
              </w:rPr>
              <w:t>SBA 7(a) loan</w:t>
            </w:r>
          </w:p>
        </w:tc>
        <w:tc>
          <w:tcPr>
            <w:tcW w:type="dxa" w:w="1584"/>
          </w:tcPr>
          <w:p>
            <w:r/>
            <w:r>
              <w:rPr>
                <w:sz w:val="19"/>
              </w:rPr>
              <w:t>$555,000</w:t>
            </w:r>
          </w:p>
        </w:tc>
        <w:tc>
          <w:tcPr>
            <w:tcW w:type="dxa" w:w="3744"/>
          </w:tcPr>
          <w:p>
            <w:r/>
            <w:r>
              <w:rPr>
                <w:sz w:val="19"/>
              </w:rPr>
              <w:t>Acquisition of Hickory (paid at close)</w:t>
            </w:r>
          </w:p>
        </w:tc>
        <w:tc>
          <w:tcPr>
            <w:tcW w:type="dxa" w:w="1584"/>
          </w:tcPr>
          <w:p>
            <w:r/>
            <w:r>
              <w:rPr>
                <w:sz w:val="19"/>
              </w:rPr>
              <w:t>$300,000</w:t>
            </w:r>
          </w:p>
        </w:tc>
      </w:tr>
      <w:tr>
        <w:tc>
          <w:tcPr>
            <w:tcW w:type="dxa" w:w="3168"/>
          </w:tcPr>
          <w:p>
            <w:r/>
            <w:r>
              <w:rPr>
                <w:sz w:val="19"/>
              </w:rPr>
              <w:t>Cash equity injection (Bullard)</w:t>
            </w:r>
          </w:p>
        </w:tc>
        <w:tc>
          <w:tcPr>
            <w:tcW w:type="dxa" w:w="1584"/>
          </w:tcPr>
          <w:p>
            <w:r/>
            <w:r>
              <w:rPr>
                <w:sz w:val="19"/>
              </w:rPr>
              <w:t>$195,000</w:t>
            </w:r>
          </w:p>
        </w:tc>
        <w:tc>
          <w:tcPr>
            <w:tcW w:type="dxa" w:w="3744"/>
          </w:tcPr>
          <w:p>
            <w:r/>
            <w:r>
              <w:rPr>
                <w:sz w:val="19"/>
              </w:rPr>
              <w:t>Startup one-time costs (855A, licensure, EMR, supplies, legal, contingency)</w:t>
            </w:r>
          </w:p>
        </w:tc>
        <w:tc>
          <w:tcPr>
            <w:tcW w:type="dxa" w:w="1584"/>
          </w:tcPr>
          <w:p>
            <w:r/>
            <w:r>
              <w:rPr>
                <w:sz w:val="19"/>
              </w:rPr>
              <w:t>$63,000</w:t>
            </w:r>
          </w:p>
        </w:tc>
      </w:tr>
      <w:tr>
        <w:tc>
          <w:tcPr>
            <w:tcW w:type="dxa" w:w="3168"/>
          </w:tcPr>
          <w:p>
            <w:r/>
            <w:r>
              <w:rPr>
                <w:sz w:val="19"/>
              </w:rPr>
            </w:r>
          </w:p>
        </w:tc>
        <w:tc>
          <w:tcPr>
            <w:tcW w:type="dxa" w:w="1584"/>
          </w:tcPr>
          <w:p>
            <w:r/>
            <w:r>
              <w:rPr>
                <w:sz w:val="19"/>
              </w:rPr>
            </w:r>
          </w:p>
        </w:tc>
        <w:tc>
          <w:tcPr>
            <w:tcW w:type="dxa" w:w="3744"/>
          </w:tcPr>
          <w:p>
            <w:r/>
            <w:r>
              <w:rPr>
                <w:sz w:val="19"/>
              </w:rPr>
              <w:t>Startup equipment (capex)</w:t>
            </w:r>
          </w:p>
        </w:tc>
        <w:tc>
          <w:tcPr>
            <w:tcW w:type="dxa" w:w="1584"/>
          </w:tcPr>
          <w:p>
            <w:r/>
            <w:r>
              <w:rPr>
                <w:sz w:val="19"/>
              </w:rPr>
              <w:t>$15,000</w:t>
            </w:r>
          </w:p>
        </w:tc>
      </w:tr>
      <w:tr>
        <w:tc>
          <w:tcPr>
            <w:tcW w:type="dxa" w:w="3168"/>
          </w:tcPr>
          <w:p>
            <w:r/>
            <w:r>
              <w:rPr>
                <w:sz w:val="19"/>
              </w:rPr>
            </w:r>
          </w:p>
        </w:tc>
        <w:tc>
          <w:tcPr>
            <w:tcW w:type="dxa" w:w="1584"/>
          </w:tcPr>
          <w:p>
            <w:r/>
            <w:r>
              <w:rPr>
                <w:sz w:val="19"/>
              </w:rPr>
            </w:r>
          </w:p>
        </w:tc>
        <w:tc>
          <w:tcPr>
            <w:tcW w:type="dxa" w:w="3744"/>
          </w:tcPr>
          <w:p>
            <w:r/>
            <w:r>
              <w:rPr>
                <w:sz w:val="19"/>
              </w:rPr>
              <w:t>Working-capital reserve (opening cash)</w:t>
            </w:r>
          </w:p>
        </w:tc>
        <w:tc>
          <w:tcPr>
            <w:tcW w:type="dxa" w:w="1584"/>
          </w:tcPr>
          <w:p>
            <w:r/>
            <w:r>
              <w:rPr>
                <w:sz w:val="19"/>
              </w:rPr>
              <w:t>$372,000</w:t>
            </w:r>
          </w:p>
        </w:tc>
      </w:tr>
      <w:tr>
        <w:tc>
          <w:tcPr>
            <w:tcW w:type="dxa" w:w="3168"/>
          </w:tcPr>
          <w:p>
            <w:r/>
            <w:r>
              <w:rPr>
                <w:sz w:val="19"/>
              </w:rPr>
              <w:t>Total sources</w:t>
            </w:r>
          </w:p>
        </w:tc>
        <w:tc>
          <w:tcPr>
            <w:tcW w:type="dxa" w:w="1584"/>
          </w:tcPr>
          <w:p>
            <w:r/>
            <w:r>
              <w:rPr>
                <w:sz w:val="19"/>
              </w:rPr>
              <w:t>$750,000</w:t>
            </w:r>
          </w:p>
        </w:tc>
        <w:tc>
          <w:tcPr>
            <w:tcW w:type="dxa" w:w="3744"/>
          </w:tcPr>
          <w:p>
            <w:r/>
            <w:r>
              <w:rPr>
                <w:sz w:val="19"/>
              </w:rPr>
              <w:t>Total uses</w:t>
            </w:r>
          </w:p>
        </w:tc>
        <w:tc>
          <w:tcPr>
            <w:tcW w:type="dxa" w:w="1584"/>
          </w:tcPr>
          <w:p>
            <w:r/>
            <w:r>
              <w:rPr>
                <w:sz w:val="19"/>
              </w:rPr>
              <w:t>$750,000</w:t>
            </w:r>
          </w:p>
        </w:tc>
      </w:tr>
    </w:tbl>
    <w:p>
      <w:r>
        <w:rPr>
          <w:b w:val="0"/>
          <w:i w:val="0"/>
          <w:sz w:val="21"/>
        </w:rPr>
        <w:t>The seller is paid in full at close from SBA proceeds and the equity injection, so there is no retained seller note and the SBA loan is the only debt the business carries. The $195,000 injection is 26.0% of the $750,000 project.</w:t>
      </w:r>
    </w:p>
    <w:p>
      <w:r>
        <w:rPr>
          <w:b/>
          <w:color w:val="1F3864"/>
          <w:sz w:val="23"/>
        </w:rPr>
        <w:t>11.3 Key assumptions</w:t>
      </w:r>
    </w:p>
    <w:tbl>
      <w:tblPr>
        <w:tblStyle w:val="LightGrid-Accent1"/>
        <w:tblW w:type="auto" w:w="0"/>
        <w:jc w:val="left"/>
        <w:tblLook w:firstColumn="1" w:firstRow="1" w:lastColumn="0" w:lastRow="0" w:noHBand="0" w:noVBand="1" w:val="04A0"/>
      </w:tblPr>
      <w:tblGrid>
        <w:gridCol w:w="4320"/>
        <w:gridCol w:w="4320"/>
      </w:tblGrid>
      <w:tr>
        <w:tc>
          <w:tcPr>
            <w:tcW w:type="dxa" w:w="3744"/>
          </w:tcPr>
          <w:p>
            <w:r/>
            <w:r>
              <w:rPr>
                <w:b/>
                <w:sz w:val="19"/>
              </w:rPr>
              <w:t>Assumption</w:t>
            </w:r>
          </w:p>
        </w:tc>
        <w:tc>
          <w:tcPr>
            <w:tcW w:type="dxa" w:w="5760"/>
          </w:tcPr>
          <w:p>
            <w:r/>
            <w:r>
              <w:rPr>
                <w:b/>
                <w:sz w:val="19"/>
              </w:rPr>
              <w:t>Value</w:t>
            </w:r>
          </w:p>
        </w:tc>
      </w:tr>
      <w:tr>
        <w:tc>
          <w:tcPr>
            <w:tcW w:type="dxa" w:w="3744"/>
          </w:tcPr>
          <w:p>
            <w:r/>
            <w:r>
              <w:rPr>
                <w:sz w:val="19"/>
              </w:rPr>
              <w:t>Payer mix</w:t>
            </w:r>
          </w:p>
        </w:tc>
        <w:tc>
          <w:tcPr>
            <w:tcW w:type="dxa" w:w="5760"/>
          </w:tcPr>
          <w:p>
            <w:r/>
            <w:r>
              <w:rPr>
                <w:sz w:val="19"/>
              </w:rPr>
              <w:t>100% Medicare RHC</w:t>
            </w:r>
          </w:p>
        </w:tc>
      </w:tr>
      <w:tr>
        <w:tc>
          <w:tcPr>
            <w:tcW w:type="dxa" w:w="3744"/>
          </w:tcPr>
          <w:p>
            <w:r/>
            <w:r>
              <w:rPr>
                <w:sz w:val="19"/>
              </w:rPr>
              <w:t>RHC per-diem (Tier 1 / Tier 2)</w:t>
            </w:r>
          </w:p>
        </w:tc>
        <w:tc>
          <w:tcPr>
            <w:tcW w:type="dxa" w:w="5760"/>
          </w:tcPr>
          <w:p>
            <w:r/>
            <w:r>
              <w:rPr>
                <w:sz w:val="19"/>
              </w:rPr>
              <w:t>$230.83 / $182.36 (FY2026)</w:t>
            </w:r>
          </w:p>
        </w:tc>
      </w:tr>
      <w:tr>
        <w:tc>
          <w:tcPr>
            <w:tcW w:type="dxa" w:w="3744"/>
          </w:tcPr>
          <w:p>
            <w:r/>
            <w:r>
              <w:rPr>
                <w:sz w:val="19"/>
              </w:rPr>
              <w:t>Tyler CBSA wage index</w:t>
            </w:r>
          </w:p>
        </w:tc>
        <w:tc>
          <w:tcPr>
            <w:tcW w:type="dxa" w:w="5760"/>
          </w:tcPr>
          <w:p>
            <w:r/>
            <w:r>
              <w:rPr>
                <w:sz w:val="19"/>
              </w:rPr>
              <w:t>0.88 (0.68 labor share)</w:t>
            </w:r>
          </w:p>
        </w:tc>
      </w:tr>
      <w:tr>
        <w:tc>
          <w:tcPr>
            <w:tcW w:type="dxa" w:w="3744"/>
          </w:tcPr>
          <w:p>
            <w:r/>
            <w:r>
              <w:rPr>
                <w:sz w:val="19"/>
              </w:rPr>
              <w:t>Blended net rate / patient-day</w:t>
            </w:r>
          </w:p>
        </w:tc>
        <w:tc>
          <w:tcPr>
            <w:tcW w:type="dxa" w:w="5760"/>
          </w:tcPr>
          <w:p>
            <w:r/>
            <w:r>
              <w:rPr>
                <w:sz w:val="19"/>
              </w:rPr>
              <w:t>$181 - escalating 2.5% / year</w:t>
            </w:r>
          </w:p>
        </w:tc>
      </w:tr>
      <w:tr>
        <w:tc>
          <w:tcPr>
            <w:tcW w:type="dxa" w:w="3744"/>
          </w:tcPr>
          <w:p>
            <w:r/>
            <w:r>
              <w:rPr>
                <w:sz w:val="19"/>
              </w:rPr>
              <w:t>Census - base case (avg ADC)</w:t>
            </w:r>
          </w:p>
        </w:tc>
        <w:tc>
          <w:tcPr>
            <w:tcW w:type="dxa" w:w="5760"/>
          </w:tcPr>
          <w:p>
            <w:r/>
            <w:r>
              <w:rPr>
                <w:sz w:val="19"/>
              </w:rPr>
              <w:t>21.8 -&gt; 40.2 -&gt; 53.8 (Yrs 1-3)</w:t>
            </w:r>
          </w:p>
        </w:tc>
      </w:tr>
      <w:tr>
        <w:tc>
          <w:tcPr>
            <w:tcW w:type="dxa" w:w="3744"/>
          </w:tcPr>
          <w:p>
            <w:r/>
            <w:r>
              <w:rPr>
                <w:sz w:val="19"/>
              </w:rPr>
              <w:t>Patient COGS / patient-day</w:t>
            </w:r>
          </w:p>
        </w:tc>
        <w:tc>
          <w:tcPr>
            <w:tcW w:type="dxa" w:w="5760"/>
          </w:tcPr>
          <w:p>
            <w:r/>
            <w:r>
              <w:rPr>
                <w:sz w:val="19"/>
              </w:rPr>
              <w:t>supplies + DME + Rx (per model)</w:t>
            </w:r>
          </w:p>
        </w:tc>
      </w:tr>
      <w:tr>
        <w:tc>
          <w:tcPr>
            <w:tcW w:type="dxa" w:w="3744"/>
          </w:tcPr>
          <w:p>
            <w:r/>
            <w:r>
              <w:rPr>
                <w:sz w:val="19"/>
              </w:rPr>
              <w:t>Benefits load (W-2)</w:t>
            </w:r>
          </w:p>
        </w:tc>
        <w:tc>
          <w:tcPr>
            <w:tcW w:type="dxa" w:w="5760"/>
          </w:tcPr>
          <w:p>
            <w:r/>
            <w:r>
              <w:rPr>
                <w:sz w:val="19"/>
              </w:rPr>
              <w:t>18.27% + $550/employee/mo health</w:t>
            </w:r>
          </w:p>
        </w:tc>
      </w:tr>
      <w:tr>
        <w:tc>
          <w:tcPr>
            <w:tcW w:type="dxa" w:w="3744"/>
          </w:tcPr>
          <w:p>
            <w:r/>
            <w:r>
              <w:rPr>
                <w:sz w:val="19"/>
              </w:rPr>
              <w:t>Medical Directors (1099)</w:t>
            </w:r>
          </w:p>
        </w:tc>
        <w:tc>
          <w:tcPr>
            <w:tcW w:type="dxa" w:w="5760"/>
          </w:tcPr>
          <w:p>
            <w:r/>
            <w:r>
              <w:rPr>
                <w:sz w:val="19"/>
              </w:rPr>
              <w:t>$4,000/mo + $5,000/mo from M22</w:t>
            </w:r>
          </w:p>
        </w:tc>
      </w:tr>
      <w:tr>
        <w:tc>
          <w:tcPr>
            <w:tcW w:type="dxa" w:w="3744"/>
          </w:tcPr>
          <w:p>
            <w:r/>
            <w:r>
              <w:rPr>
                <w:sz w:val="19"/>
              </w:rPr>
              <w:t>Outsourced billing / QR fee</w:t>
            </w:r>
          </w:p>
        </w:tc>
        <w:tc>
          <w:tcPr>
            <w:tcW w:type="dxa" w:w="5760"/>
          </w:tcPr>
          <w:p>
            <w:r/>
            <w:r>
              <w:rPr>
                <w:sz w:val="19"/>
              </w:rPr>
              <w:t>1.5% / 0.75% of gross</w:t>
            </w:r>
          </w:p>
        </w:tc>
      </w:tr>
      <w:tr>
        <w:tc>
          <w:tcPr>
            <w:tcW w:type="dxa" w:w="3744"/>
          </w:tcPr>
          <w:p>
            <w:r/>
            <w:r>
              <w:rPr>
                <w:sz w:val="19"/>
              </w:rPr>
              <w:t>SBA 7(a)</w:t>
            </w:r>
          </w:p>
        </w:tc>
        <w:tc>
          <w:tcPr>
            <w:tcW w:type="dxa" w:w="5760"/>
          </w:tcPr>
          <w:p>
            <w:r/>
            <w:r>
              <w:rPr>
                <w:sz w:val="19"/>
              </w:rPr>
              <w:t>$555,000 - 11.5% APR - 120 mo - $7,803.05/mo</w:t>
            </w:r>
          </w:p>
        </w:tc>
      </w:tr>
      <w:tr>
        <w:tc>
          <w:tcPr>
            <w:tcW w:type="dxa" w:w="3744"/>
          </w:tcPr>
          <w:p>
            <w:r/>
            <w:r>
              <w:rPr>
                <w:sz w:val="19"/>
              </w:rPr>
              <w:t>Seller</w:t>
            </w:r>
          </w:p>
        </w:tc>
        <w:tc>
          <w:tcPr>
            <w:tcW w:type="dxa" w:w="5760"/>
          </w:tcPr>
          <w:p>
            <w:r/>
            <w:r>
              <w:rPr>
                <w:sz w:val="19"/>
              </w:rPr>
              <w:t>$300,000 paid in full at close (no retained note)</w:t>
            </w:r>
          </w:p>
        </w:tc>
      </w:tr>
      <w:tr>
        <w:tc>
          <w:tcPr>
            <w:tcW w:type="dxa" w:w="3744"/>
          </w:tcPr>
          <w:p>
            <w:r/>
            <w:r>
              <w:rPr>
                <w:sz w:val="19"/>
              </w:rPr>
              <w:t>Equity injection</w:t>
            </w:r>
          </w:p>
        </w:tc>
        <w:tc>
          <w:tcPr>
            <w:tcW w:type="dxa" w:w="5760"/>
          </w:tcPr>
          <w:p>
            <w:r/>
            <w:r>
              <w:rPr>
                <w:sz w:val="19"/>
              </w:rPr>
              <w:t>$195,000 cash (26.0% of project)</w:t>
            </w:r>
          </w:p>
        </w:tc>
      </w:tr>
      <w:tr>
        <w:tc>
          <w:tcPr>
            <w:tcW w:type="dxa" w:w="3744"/>
          </w:tcPr>
          <w:p>
            <w:r/>
            <w:r>
              <w:rPr>
                <w:sz w:val="19"/>
              </w:rPr>
              <w:t>Depreciation &amp; amortization</w:t>
            </w:r>
          </w:p>
        </w:tc>
        <w:tc>
          <w:tcPr>
            <w:tcW w:type="dxa" w:w="5760"/>
          </w:tcPr>
          <w:p>
            <w:r/>
            <w:r>
              <w:rPr>
                <w:sz w:val="19"/>
              </w:rPr>
              <w:t>$78K startup+capex (5-yr) + $300K license (15-yr) = $35,600/yr</w:t>
            </w:r>
          </w:p>
        </w:tc>
      </w:tr>
      <w:tr>
        <w:tc>
          <w:tcPr>
            <w:tcW w:type="dxa" w:w="3744"/>
          </w:tcPr>
          <w:p>
            <w:r/>
            <w:r>
              <w:rPr>
                <w:sz w:val="19"/>
              </w:rPr>
              <w:t>TX franchise tax / AR-AP days</w:t>
            </w:r>
          </w:p>
        </w:tc>
        <w:tc>
          <w:tcPr>
            <w:tcW w:type="dxa" w:w="5760"/>
          </w:tcPr>
          <w:p>
            <w:r/>
            <w:r>
              <w:rPr>
                <w:sz w:val="19"/>
              </w:rPr>
              <w:t>per model / 45-30</w:t>
            </w:r>
          </w:p>
        </w:tc>
      </w:tr>
      <w:tr>
        <w:tc>
          <w:tcPr>
            <w:tcW w:type="dxa" w:w="3744"/>
          </w:tcPr>
          <w:p>
            <w:r/>
            <w:r>
              <w:rPr>
                <w:sz w:val="19"/>
              </w:rPr>
              <w:t>Opening cash reserve</w:t>
            </w:r>
          </w:p>
        </w:tc>
        <w:tc>
          <w:tcPr>
            <w:tcW w:type="dxa" w:w="5760"/>
          </w:tcPr>
          <w:p>
            <w:r/>
            <w:r>
              <w:rPr>
                <w:sz w:val="19"/>
              </w:rPr>
              <w:t>$372,000</w:t>
            </w:r>
          </w:p>
        </w:tc>
      </w:tr>
    </w:tbl>
    <w:p>
      <w:r>
        <w:rPr>
          <w:b/>
          <w:color w:val="1F3864"/>
          <w:sz w:val="23"/>
        </w:rPr>
        <w:t>11.4 Three-year profit &amp; loss (current operating model)</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3744"/>
          </w:tcPr>
          <w:p>
            <w:r/>
            <w:r>
              <w:rPr>
                <w:b/>
                <w:sz w:val="19"/>
              </w:rPr>
              <w:t>Line item</w:t>
            </w:r>
          </w:p>
        </w:tc>
        <w:tc>
          <w:tcPr>
            <w:tcW w:type="dxa" w:w="2016"/>
          </w:tcPr>
          <w:p>
            <w:r/>
            <w:r>
              <w:rPr>
                <w:b/>
                <w:sz w:val="19"/>
              </w:rPr>
              <w:t>Year 1</w:t>
            </w:r>
          </w:p>
        </w:tc>
        <w:tc>
          <w:tcPr>
            <w:tcW w:type="dxa" w:w="2016"/>
          </w:tcPr>
          <w:p>
            <w:r/>
            <w:r>
              <w:rPr>
                <w:b/>
                <w:sz w:val="19"/>
              </w:rPr>
              <w:t>Year 2</w:t>
            </w:r>
          </w:p>
        </w:tc>
        <w:tc>
          <w:tcPr>
            <w:tcW w:type="dxa" w:w="2016"/>
          </w:tcPr>
          <w:p>
            <w:r/>
            <w:r>
              <w:rPr>
                <w:b/>
                <w:sz w:val="19"/>
              </w:rPr>
              <w:t>Year 3</w:t>
            </w:r>
          </w:p>
        </w:tc>
      </w:tr>
      <w:tr>
        <w:tc>
          <w:tcPr>
            <w:tcW w:type="dxa" w:w="3744"/>
          </w:tcPr>
          <w:p>
            <w:r/>
            <w:r>
              <w:rPr>
                <w:sz w:val="19"/>
              </w:rPr>
              <w:t>Average daily census (ADC)</w:t>
            </w:r>
          </w:p>
        </w:tc>
        <w:tc>
          <w:tcPr>
            <w:tcW w:type="dxa" w:w="2016"/>
          </w:tcPr>
          <w:p>
            <w:r/>
            <w:r>
              <w:rPr>
                <w:sz w:val="19"/>
              </w:rPr>
              <w:t>21.8</w:t>
            </w:r>
          </w:p>
        </w:tc>
        <w:tc>
          <w:tcPr>
            <w:tcW w:type="dxa" w:w="2016"/>
          </w:tcPr>
          <w:p>
            <w:r/>
            <w:r>
              <w:rPr>
                <w:sz w:val="19"/>
              </w:rPr>
              <w:t>40.2</w:t>
            </w:r>
          </w:p>
        </w:tc>
        <w:tc>
          <w:tcPr>
            <w:tcW w:type="dxa" w:w="2016"/>
          </w:tcPr>
          <w:p>
            <w:r/>
            <w:r>
              <w:rPr>
                <w:sz w:val="19"/>
              </w:rPr>
              <w:t>53.8</w:t>
            </w:r>
          </w:p>
        </w:tc>
      </w:tr>
      <w:tr>
        <w:tc>
          <w:tcPr>
            <w:tcW w:type="dxa" w:w="3744"/>
          </w:tcPr>
          <w:p>
            <w:r/>
            <w:r>
              <w:rPr>
                <w:sz w:val="19"/>
              </w:rPr>
              <w:t>Net patient revenue</w:t>
            </w:r>
          </w:p>
        </w:tc>
        <w:tc>
          <w:tcPr>
            <w:tcW w:type="dxa" w:w="2016"/>
          </w:tcPr>
          <w:p>
            <w:r/>
            <w:r>
              <w:rPr>
                <w:sz w:val="19"/>
              </w:rPr>
              <w:t>$1,442,930</w:t>
            </w:r>
          </w:p>
        </w:tc>
        <w:tc>
          <w:tcPr>
            <w:tcW w:type="dxa" w:w="2016"/>
          </w:tcPr>
          <w:p>
            <w:r/>
            <w:r>
              <w:rPr>
                <w:sz w:val="19"/>
              </w:rPr>
              <w:t>$2,728,642</w:t>
            </w:r>
          </w:p>
        </w:tc>
        <w:tc>
          <w:tcPr>
            <w:tcW w:type="dxa" w:w="2016"/>
          </w:tcPr>
          <w:p>
            <w:r/>
            <w:r>
              <w:rPr>
                <w:sz w:val="19"/>
              </w:rPr>
              <w:t>$3,734,934</w:t>
            </w:r>
          </w:p>
        </w:tc>
      </w:tr>
      <w:tr>
        <w:tc>
          <w:tcPr>
            <w:tcW w:type="dxa" w:w="3744"/>
          </w:tcPr>
          <w:p>
            <w:r/>
            <w:r>
              <w:rPr>
                <w:sz w:val="19"/>
              </w:rPr>
              <w:t>Patient-related COGS</w:t>
            </w:r>
          </w:p>
        </w:tc>
        <w:tc>
          <w:tcPr>
            <w:tcW w:type="dxa" w:w="2016"/>
          </w:tcPr>
          <w:p>
            <w:r/>
            <w:r>
              <w:rPr>
                <w:sz w:val="19"/>
              </w:rPr>
              <w:t>$71,549</w:t>
            </w:r>
          </w:p>
        </w:tc>
        <w:tc>
          <w:tcPr>
            <w:tcW w:type="dxa" w:w="2016"/>
          </w:tcPr>
          <w:p>
            <w:r/>
            <w:r>
              <w:rPr>
                <w:sz w:val="19"/>
              </w:rPr>
              <w:t>$132,002</w:t>
            </w:r>
          </w:p>
        </w:tc>
        <w:tc>
          <w:tcPr>
            <w:tcW w:type="dxa" w:w="2016"/>
          </w:tcPr>
          <w:p>
            <w:r/>
            <w:r>
              <w:rPr>
                <w:sz w:val="19"/>
              </w:rPr>
              <w:t>$176,276</w:t>
            </w:r>
          </w:p>
        </w:tc>
      </w:tr>
      <w:tr>
        <w:tc>
          <w:tcPr>
            <w:tcW w:type="dxa" w:w="3744"/>
          </w:tcPr>
          <w:p>
            <w:r/>
            <w:r>
              <w:rPr>
                <w:sz w:val="19"/>
              </w:rPr>
              <w:t>Payroll &amp; related</w:t>
            </w:r>
          </w:p>
        </w:tc>
        <w:tc>
          <w:tcPr>
            <w:tcW w:type="dxa" w:w="2016"/>
          </w:tcPr>
          <w:p>
            <w:r/>
            <w:r>
              <w:rPr>
                <w:sz w:val="19"/>
              </w:rPr>
              <w:t>$868,172</w:t>
            </w:r>
          </w:p>
        </w:tc>
        <w:tc>
          <w:tcPr>
            <w:tcW w:type="dxa" w:w="2016"/>
          </w:tcPr>
          <w:p>
            <w:r/>
            <w:r>
              <w:rPr>
                <w:sz w:val="19"/>
              </w:rPr>
              <w:t>$1,686,864</w:t>
            </w:r>
          </w:p>
        </w:tc>
        <w:tc>
          <w:tcPr>
            <w:tcW w:type="dxa" w:w="2016"/>
          </w:tcPr>
          <w:p>
            <w:r/>
            <w:r>
              <w:rPr>
                <w:sz w:val="19"/>
              </w:rPr>
              <w:t>$2,297,748</w:t>
            </w:r>
          </w:p>
        </w:tc>
      </w:tr>
      <w:tr>
        <w:tc>
          <w:tcPr>
            <w:tcW w:type="dxa" w:w="3744"/>
          </w:tcPr>
          <w:p>
            <w:r/>
            <w:r>
              <w:rPr>
                <w:sz w:val="19"/>
              </w:rPr>
              <w:t>Operating G&amp;A</w:t>
            </w:r>
          </w:p>
        </w:tc>
        <w:tc>
          <w:tcPr>
            <w:tcW w:type="dxa" w:w="2016"/>
          </w:tcPr>
          <w:p>
            <w:r/>
            <w:r>
              <w:rPr>
                <w:sz w:val="19"/>
              </w:rPr>
              <w:t>$200,687</w:t>
            </w:r>
          </w:p>
        </w:tc>
        <w:tc>
          <w:tcPr>
            <w:tcW w:type="dxa" w:w="2016"/>
          </w:tcPr>
          <w:p>
            <w:r/>
            <w:r>
              <w:rPr>
                <w:sz w:val="19"/>
              </w:rPr>
              <w:t>$230,251</w:t>
            </w:r>
          </w:p>
        </w:tc>
        <w:tc>
          <w:tcPr>
            <w:tcW w:type="dxa" w:w="2016"/>
          </w:tcPr>
          <w:p>
            <w:r/>
            <w:r>
              <w:rPr>
                <w:sz w:val="19"/>
              </w:rPr>
              <w:t>$253,390</w:t>
            </w:r>
          </w:p>
        </w:tc>
      </w:tr>
      <w:tr>
        <w:tc>
          <w:tcPr>
            <w:tcW w:type="dxa" w:w="3744"/>
          </w:tcPr>
          <w:p>
            <w:r/>
            <w:r>
              <w:rPr>
                <w:sz w:val="19"/>
              </w:rPr>
              <w:t>EBITDA</w:t>
            </w:r>
          </w:p>
        </w:tc>
        <w:tc>
          <w:tcPr>
            <w:tcW w:type="dxa" w:w="2016"/>
          </w:tcPr>
          <w:p>
            <w:r/>
            <w:r>
              <w:rPr>
                <w:sz w:val="19"/>
              </w:rPr>
              <w:t>$302,522</w:t>
            </w:r>
          </w:p>
        </w:tc>
        <w:tc>
          <w:tcPr>
            <w:tcW w:type="dxa" w:w="2016"/>
          </w:tcPr>
          <w:p>
            <w:r/>
            <w:r>
              <w:rPr>
                <w:sz w:val="19"/>
              </w:rPr>
              <w:t>$679,524</w:t>
            </w:r>
          </w:p>
        </w:tc>
        <w:tc>
          <w:tcPr>
            <w:tcW w:type="dxa" w:w="2016"/>
          </w:tcPr>
          <w:p>
            <w:r/>
            <w:r>
              <w:rPr>
                <w:sz w:val="19"/>
              </w:rPr>
              <w:t>$1,007,520</w:t>
            </w:r>
          </w:p>
        </w:tc>
      </w:tr>
      <w:tr>
        <w:tc>
          <w:tcPr>
            <w:tcW w:type="dxa" w:w="3744"/>
          </w:tcPr>
          <w:p>
            <w:r/>
            <w:r>
              <w:rPr>
                <w:sz w:val="19"/>
              </w:rPr>
              <w:t>EBITDA margin</w:t>
            </w:r>
          </w:p>
        </w:tc>
        <w:tc>
          <w:tcPr>
            <w:tcW w:type="dxa" w:w="2016"/>
          </w:tcPr>
          <w:p>
            <w:r/>
            <w:r>
              <w:rPr>
                <w:sz w:val="19"/>
              </w:rPr>
              <w:t>21.0%</w:t>
            </w:r>
          </w:p>
        </w:tc>
        <w:tc>
          <w:tcPr>
            <w:tcW w:type="dxa" w:w="2016"/>
          </w:tcPr>
          <w:p>
            <w:r/>
            <w:r>
              <w:rPr>
                <w:sz w:val="19"/>
              </w:rPr>
              <w:t>24.9%</w:t>
            </w:r>
          </w:p>
        </w:tc>
        <w:tc>
          <w:tcPr>
            <w:tcW w:type="dxa" w:w="2016"/>
          </w:tcPr>
          <w:p>
            <w:r/>
            <w:r>
              <w:rPr>
                <w:sz w:val="19"/>
              </w:rPr>
              <w:t>27.0%</w:t>
            </w:r>
          </w:p>
        </w:tc>
      </w:tr>
      <w:tr>
        <w:tc>
          <w:tcPr>
            <w:tcW w:type="dxa" w:w="3744"/>
          </w:tcPr>
          <w:p>
            <w:r/>
            <w:r>
              <w:rPr>
                <w:sz w:val="19"/>
              </w:rPr>
              <w:t>Depreciation &amp; amortization</w:t>
            </w:r>
          </w:p>
        </w:tc>
        <w:tc>
          <w:tcPr>
            <w:tcW w:type="dxa" w:w="2016"/>
          </w:tcPr>
          <w:p>
            <w:r/>
            <w:r>
              <w:rPr>
                <w:sz w:val="19"/>
              </w:rPr>
              <w:t>$35,600</w:t>
            </w:r>
          </w:p>
        </w:tc>
        <w:tc>
          <w:tcPr>
            <w:tcW w:type="dxa" w:w="2016"/>
          </w:tcPr>
          <w:p>
            <w:r/>
            <w:r>
              <w:rPr>
                <w:sz w:val="19"/>
              </w:rPr>
              <w:t>$35,600</w:t>
            </w:r>
          </w:p>
        </w:tc>
        <w:tc>
          <w:tcPr>
            <w:tcW w:type="dxa" w:w="2016"/>
          </w:tcPr>
          <w:p>
            <w:r/>
            <w:r>
              <w:rPr>
                <w:sz w:val="19"/>
              </w:rPr>
              <w:t>$35,600</w:t>
            </w:r>
          </w:p>
        </w:tc>
      </w:tr>
      <w:tr>
        <w:tc>
          <w:tcPr>
            <w:tcW w:type="dxa" w:w="3744"/>
          </w:tcPr>
          <w:p>
            <w:r/>
            <w:r>
              <w:rPr>
                <w:sz w:val="19"/>
              </w:rPr>
              <w:t>Interest (SBA loan only)</w:t>
            </w:r>
          </w:p>
        </w:tc>
        <w:tc>
          <w:tcPr>
            <w:tcW w:type="dxa" w:w="2016"/>
          </w:tcPr>
          <w:p>
            <w:r/>
            <w:r>
              <w:rPr>
                <w:sz w:val="19"/>
              </w:rPr>
              <w:t>$62,202</w:t>
            </w:r>
          </w:p>
        </w:tc>
        <w:tc>
          <w:tcPr>
            <w:tcW w:type="dxa" w:w="2016"/>
          </w:tcPr>
          <w:p>
            <w:r/>
            <w:r>
              <w:rPr>
                <w:sz w:val="19"/>
              </w:rPr>
              <w:t>$58,741</w:t>
            </w:r>
          </w:p>
        </w:tc>
        <w:tc>
          <w:tcPr>
            <w:tcW w:type="dxa" w:w="2016"/>
          </w:tcPr>
          <w:p>
            <w:r/>
            <w:r>
              <w:rPr>
                <w:sz w:val="19"/>
              </w:rPr>
              <w:t>$54,551</w:t>
            </w:r>
          </w:p>
        </w:tc>
      </w:tr>
      <w:tr>
        <w:tc>
          <w:tcPr>
            <w:tcW w:type="dxa" w:w="3744"/>
          </w:tcPr>
          <w:p>
            <w:r/>
            <w:r>
              <w:rPr>
                <w:sz w:val="19"/>
              </w:rPr>
              <w:t>TX franchise tax</w:t>
            </w:r>
          </w:p>
        </w:tc>
        <w:tc>
          <w:tcPr>
            <w:tcW w:type="dxa" w:w="2016"/>
          </w:tcPr>
          <w:p>
            <w:r/>
            <w:r>
              <w:rPr>
                <w:sz w:val="19"/>
              </w:rPr>
              <w:t>$5,411</w:t>
            </w:r>
          </w:p>
        </w:tc>
        <w:tc>
          <w:tcPr>
            <w:tcW w:type="dxa" w:w="2016"/>
          </w:tcPr>
          <w:p>
            <w:r/>
            <w:r>
              <w:rPr>
                <w:sz w:val="19"/>
              </w:rPr>
              <w:t>$10,232</w:t>
            </w:r>
          </w:p>
        </w:tc>
        <w:tc>
          <w:tcPr>
            <w:tcW w:type="dxa" w:w="2016"/>
          </w:tcPr>
          <w:p>
            <w:r/>
            <w:r>
              <w:rPr>
                <w:sz w:val="19"/>
              </w:rPr>
              <w:t>$14,006</w:t>
            </w:r>
          </w:p>
        </w:tc>
      </w:tr>
      <w:tr>
        <w:tc>
          <w:tcPr>
            <w:tcW w:type="dxa" w:w="3744"/>
          </w:tcPr>
          <w:p>
            <w:r/>
            <w:r>
              <w:rPr>
                <w:sz w:val="19"/>
              </w:rPr>
              <w:t>Net income</w:t>
            </w:r>
          </w:p>
        </w:tc>
        <w:tc>
          <w:tcPr>
            <w:tcW w:type="dxa" w:w="2016"/>
          </w:tcPr>
          <w:p>
            <w:r/>
            <w:r>
              <w:rPr>
                <w:sz w:val="19"/>
              </w:rPr>
              <w:t>$199,308</w:t>
            </w:r>
          </w:p>
        </w:tc>
        <w:tc>
          <w:tcPr>
            <w:tcW w:type="dxa" w:w="2016"/>
          </w:tcPr>
          <w:p>
            <w:r/>
            <w:r>
              <w:rPr>
                <w:sz w:val="19"/>
              </w:rPr>
              <w:t>$574,951</w:t>
            </w:r>
          </w:p>
        </w:tc>
        <w:tc>
          <w:tcPr>
            <w:tcW w:type="dxa" w:w="2016"/>
          </w:tcPr>
          <w:p>
            <w:r/>
            <w:r>
              <w:rPr>
                <w:sz w:val="19"/>
              </w:rPr>
              <w:t>$903,362</w:t>
            </w:r>
          </w:p>
        </w:tc>
      </w:tr>
    </w:tbl>
    <w:p>
      <w:r>
        <w:rPr>
          <w:b w:val="0"/>
          <w:i w:val="0"/>
          <w:sz w:val="21"/>
        </w:rPr>
        <w:t>Net revenue grows from $1.44M to $3.73M and EBITDA from $303K to $1.01M as the base-case census builds from ~22 to ~54 ADC on the team's referral pipeline, with a conservative 2.5% annual CMS per-diem escalation. Payroll scales on census triggers, carrying the fuller, more defensible direct-care roster sized to the census being underwritten. D&amp;A of $35,600/yr is a non-cash charge below EBITDA that does not affect debt-service coverage.</w:t>
      </w:r>
    </w:p>
    <w:p>
      <w:r>
        <w:rPr>
          <w:b/>
          <w:color w:val="1F3864"/>
          <w:sz w:val="23"/>
        </w:rPr>
        <w:t>11.5 Year-1 monthly detail (selected months)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304"/>
          </w:tcPr>
          <w:p>
            <w:r/>
            <w:r>
              <w:rPr>
                <w:b/>
                <w:sz w:val="19"/>
              </w:rPr>
              <w:t>Month</w:t>
            </w:r>
          </w:p>
        </w:tc>
        <w:tc>
          <w:tcPr>
            <w:tcW w:type="dxa" w:w="1440"/>
          </w:tcPr>
          <w:p>
            <w:r/>
            <w:r>
              <w:rPr>
                <w:b/>
                <w:sz w:val="19"/>
              </w:rPr>
              <w:t>ADC</w:t>
            </w:r>
          </w:p>
        </w:tc>
        <w:tc>
          <w:tcPr>
            <w:tcW w:type="dxa" w:w="2304"/>
          </w:tcPr>
          <w:p>
            <w:r/>
            <w:r>
              <w:rPr>
                <w:b/>
                <w:sz w:val="19"/>
              </w:rPr>
              <w:t>Net revenue</w:t>
            </w:r>
          </w:p>
        </w:tc>
        <w:tc>
          <w:tcPr>
            <w:tcW w:type="dxa" w:w="3456"/>
          </w:tcPr>
          <w:p>
            <w:r/>
            <w:r>
              <w:rPr>
                <w:b/>
                <w:sz w:val="19"/>
              </w:rPr>
              <w:t>DSCR (SBA-only)</w:t>
            </w:r>
          </w:p>
        </w:tc>
      </w:tr>
      <w:tr>
        <w:tc>
          <w:tcPr>
            <w:tcW w:type="dxa" w:w="2304"/>
          </w:tcPr>
          <w:p>
            <w:r/>
            <w:r>
              <w:rPr>
                <w:sz w:val="19"/>
              </w:rPr>
              <w:t>M1 (transition)</w:t>
            </w:r>
          </w:p>
        </w:tc>
        <w:tc>
          <w:tcPr>
            <w:tcW w:type="dxa" w:w="1440"/>
          </w:tcPr>
          <w:p>
            <w:r/>
            <w:r>
              <w:rPr>
                <w:sz w:val="19"/>
              </w:rPr>
              <w:t>12.0</w:t>
            </w:r>
          </w:p>
        </w:tc>
        <w:tc>
          <w:tcPr>
            <w:tcW w:type="dxa" w:w="2304"/>
          </w:tcPr>
          <w:p>
            <w:r/>
            <w:r>
              <w:rPr>
                <w:sz w:val="19"/>
              </w:rPr>
              <w:t>~$66,000</w:t>
            </w:r>
          </w:p>
        </w:tc>
        <w:tc>
          <w:tcPr>
            <w:tcW w:type="dxa" w:w="3456"/>
          </w:tcPr>
          <w:p>
            <w:r/>
            <w:r>
              <w:rPr>
                <w:sz w:val="19"/>
              </w:rPr>
              <w:t>covered by reserve</w:t>
            </w:r>
          </w:p>
        </w:tc>
      </w:tr>
      <w:tr>
        <w:tc>
          <w:tcPr>
            <w:tcW w:type="dxa" w:w="2304"/>
          </w:tcPr>
          <w:p>
            <w:r/>
            <w:r>
              <w:rPr>
                <w:sz w:val="19"/>
              </w:rPr>
              <w:t>M3</w:t>
            </w:r>
          </w:p>
        </w:tc>
        <w:tc>
          <w:tcPr>
            <w:tcW w:type="dxa" w:w="1440"/>
          </w:tcPr>
          <w:p>
            <w:r/>
            <w:r>
              <w:rPr>
                <w:sz w:val="19"/>
              </w:rPr>
              <w:t>22.0</w:t>
            </w:r>
          </w:p>
        </w:tc>
        <w:tc>
          <w:tcPr>
            <w:tcW w:type="dxa" w:w="2304"/>
          </w:tcPr>
          <w:p>
            <w:r/>
            <w:r>
              <w:rPr>
                <w:sz w:val="19"/>
              </w:rPr>
              <w:t>~$121,000</w:t>
            </w:r>
          </w:p>
        </w:tc>
        <w:tc>
          <w:tcPr>
            <w:tcW w:type="dxa" w:w="3456"/>
          </w:tcPr>
          <w:p>
            <w:r/>
            <w:r>
              <w:rPr>
                <w:sz w:val="19"/>
              </w:rPr>
              <w:t>clears comfortably</w:t>
            </w:r>
          </w:p>
        </w:tc>
      </w:tr>
      <w:tr>
        <w:tc>
          <w:tcPr>
            <w:tcW w:type="dxa" w:w="2304"/>
          </w:tcPr>
          <w:p>
            <w:r/>
            <w:r>
              <w:rPr>
                <w:sz w:val="19"/>
              </w:rPr>
              <w:t>M6</w:t>
            </w:r>
          </w:p>
        </w:tc>
        <w:tc>
          <w:tcPr>
            <w:tcW w:type="dxa" w:w="1440"/>
          </w:tcPr>
          <w:p>
            <w:r/>
            <w:r>
              <w:rPr>
                <w:sz w:val="19"/>
              </w:rPr>
              <w:t>22.7</w:t>
            </w:r>
          </w:p>
        </w:tc>
        <w:tc>
          <w:tcPr>
            <w:tcW w:type="dxa" w:w="2304"/>
          </w:tcPr>
          <w:p>
            <w:r/>
            <w:r>
              <w:rPr>
                <w:sz w:val="19"/>
              </w:rPr>
              <w:t>~$125,000</w:t>
            </w:r>
          </w:p>
        </w:tc>
        <w:tc>
          <w:tcPr>
            <w:tcW w:type="dxa" w:w="3456"/>
          </w:tcPr>
          <w:p>
            <w:r/>
            <w:r>
              <w:rPr>
                <w:sz w:val="19"/>
              </w:rPr>
              <w:t>clears comfortably</w:t>
            </w:r>
          </w:p>
        </w:tc>
      </w:tr>
      <w:tr>
        <w:tc>
          <w:tcPr>
            <w:tcW w:type="dxa" w:w="2304"/>
          </w:tcPr>
          <w:p>
            <w:r/>
            <w:r>
              <w:rPr>
                <w:sz w:val="19"/>
              </w:rPr>
              <w:t>M12</w:t>
            </w:r>
          </w:p>
        </w:tc>
        <w:tc>
          <w:tcPr>
            <w:tcW w:type="dxa" w:w="1440"/>
          </w:tcPr>
          <w:p>
            <w:r/>
            <w:r>
              <w:rPr>
                <w:sz w:val="19"/>
              </w:rPr>
              <w:t>24.0</w:t>
            </w:r>
          </w:p>
        </w:tc>
        <w:tc>
          <w:tcPr>
            <w:tcW w:type="dxa" w:w="2304"/>
          </w:tcPr>
          <w:p>
            <w:r/>
            <w:r>
              <w:rPr>
                <w:sz w:val="19"/>
              </w:rPr>
              <w:t>~$132,000</w:t>
            </w:r>
          </w:p>
        </w:tc>
        <w:tc>
          <w:tcPr>
            <w:tcW w:type="dxa" w:w="3456"/>
          </w:tcPr>
          <w:p>
            <w:r/>
            <w:r>
              <w:rPr>
                <w:sz w:val="19"/>
              </w:rPr>
              <w:t>clears comfortably</w:t>
            </w:r>
          </w:p>
        </w:tc>
      </w:tr>
    </w:tbl>
    <w:p>
      <w:r>
        <w:rPr>
          <w:b w:val="0"/>
          <w:i w:val="0"/>
          <w:sz w:val="21"/>
        </w:rPr>
        <w:t>DSCR here is on SBA debt service alone ($7,803.05/month) - there is no seller note. Month 1 is the transition month (partial census at 12 ADC) and is absorbed by the $372K opening cash reserve; coverage clears the 1.25x floor with wide margin as census stabilizes around the validated ~22 ADC. On an annual basis Year 1 covers at 3.23x.</w:t>
      </w:r>
    </w:p>
    <w:p>
      <w:r>
        <w:rPr>
          <w:b/>
          <w:color w:val="1F3864"/>
          <w:sz w:val="23"/>
        </w:rPr>
        <w:t>11.6 Lender summary &amp; debt-service coverage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3744"/>
          </w:tcPr>
          <w:p>
            <w:r/>
            <w:r>
              <w:rPr>
                <w:b/>
                <w:sz w:val="19"/>
              </w:rPr>
              <w:t>Metric</w:t>
            </w:r>
          </w:p>
        </w:tc>
        <w:tc>
          <w:tcPr>
            <w:tcW w:type="dxa" w:w="2016"/>
          </w:tcPr>
          <w:p>
            <w:r/>
            <w:r>
              <w:rPr>
                <w:b/>
                <w:sz w:val="19"/>
              </w:rPr>
              <w:t>Year 1</w:t>
            </w:r>
          </w:p>
        </w:tc>
        <w:tc>
          <w:tcPr>
            <w:tcW w:type="dxa" w:w="2016"/>
          </w:tcPr>
          <w:p>
            <w:r/>
            <w:r>
              <w:rPr>
                <w:b/>
                <w:sz w:val="19"/>
              </w:rPr>
              <w:t>Year 2</w:t>
            </w:r>
          </w:p>
        </w:tc>
        <w:tc>
          <w:tcPr>
            <w:tcW w:type="dxa" w:w="2016"/>
          </w:tcPr>
          <w:p>
            <w:r/>
            <w:r>
              <w:rPr>
                <w:b/>
                <w:sz w:val="19"/>
              </w:rPr>
              <w:t>Year 3</w:t>
            </w:r>
          </w:p>
        </w:tc>
      </w:tr>
      <w:tr>
        <w:tc>
          <w:tcPr>
            <w:tcW w:type="dxa" w:w="3744"/>
          </w:tcPr>
          <w:p>
            <w:r/>
            <w:r>
              <w:rPr>
                <w:sz w:val="19"/>
              </w:rPr>
              <w:t>Net revenue</w:t>
            </w:r>
          </w:p>
        </w:tc>
        <w:tc>
          <w:tcPr>
            <w:tcW w:type="dxa" w:w="2016"/>
          </w:tcPr>
          <w:p>
            <w:r/>
            <w:r>
              <w:rPr>
                <w:sz w:val="19"/>
              </w:rPr>
              <w:t>$1,442,930</w:t>
            </w:r>
          </w:p>
        </w:tc>
        <w:tc>
          <w:tcPr>
            <w:tcW w:type="dxa" w:w="2016"/>
          </w:tcPr>
          <w:p>
            <w:r/>
            <w:r>
              <w:rPr>
                <w:sz w:val="19"/>
              </w:rPr>
              <w:t>$2,728,642</w:t>
            </w:r>
          </w:p>
        </w:tc>
        <w:tc>
          <w:tcPr>
            <w:tcW w:type="dxa" w:w="2016"/>
          </w:tcPr>
          <w:p>
            <w:r/>
            <w:r>
              <w:rPr>
                <w:sz w:val="19"/>
              </w:rPr>
              <w:t>$3,734,934</w:t>
            </w:r>
          </w:p>
        </w:tc>
      </w:tr>
      <w:tr>
        <w:tc>
          <w:tcPr>
            <w:tcW w:type="dxa" w:w="3744"/>
          </w:tcPr>
          <w:p>
            <w:r/>
            <w:r>
              <w:rPr>
                <w:sz w:val="19"/>
              </w:rPr>
              <w:t>EBITDA</w:t>
            </w:r>
          </w:p>
        </w:tc>
        <w:tc>
          <w:tcPr>
            <w:tcW w:type="dxa" w:w="2016"/>
          </w:tcPr>
          <w:p>
            <w:r/>
            <w:r>
              <w:rPr>
                <w:sz w:val="19"/>
              </w:rPr>
              <w:t>$302,522</w:t>
            </w:r>
          </w:p>
        </w:tc>
        <w:tc>
          <w:tcPr>
            <w:tcW w:type="dxa" w:w="2016"/>
          </w:tcPr>
          <w:p>
            <w:r/>
            <w:r>
              <w:rPr>
                <w:sz w:val="19"/>
              </w:rPr>
              <w:t>$679,524</w:t>
            </w:r>
          </w:p>
        </w:tc>
        <w:tc>
          <w:tcPr>
            <w:tcW w:type="dxa" w:w="2016"/>
          </w:tcPr>
          <w:p>
            <w:r/>
            <w:r>
              <w:rPr>
                <w:sz w:val="19"/>
              </w:rPr>
              <w:t>$1,007,520</w:t>
            </w:r>
          </w:p>
        </w:tc>
      </w:tr>
      <w:tr>
        <w:tc>
          <w:tcPr>
            <w:tcW w:type="dxa" w:w="3744"/>
          </w:tcPr>
          <w:p>
            <w:r/>
            <w:r>
              <w:rPr>
                <w:sz w:val="19"/>
              </w:rPr>
              <w:t>SBA debt service (only debt)</w:t>
            </w:r>
          </w:p>
        </w:tc>
        <w:tc>
          <w:tcPr>
            <w:tcW w:type="dxa" w:w="2016"/>
          </w:tcPr>
          <w:p>
            <w:r/>
            <w:r>
              <w:rPr>
                <w:sz w:val="19"/>
              </w:rPr>
              <w:t>$93,637</w:t>
            </w:r>
          </w:p>
        </w:tc>
        <w:tc>
          <w:tcPr>
            <w:tcW w:type="dxa" w:w="2016"/>
          </w:tcPr>
          <w:p>
            <w:r/>
            <w:r>
              <w:rPr>
                <w:sz w:val="19"/>
              </w:rPr>
              <w:t>$93,637</w:t>
            </w:r>
          </w:p>
        </w:tc>
        <w:tc>
          <w:tcPr>
            <w:tcW w:type="dxa" w:w="2016"/>
          </w:tcPr>
          <w:p>
            <w:r/>
            <w:r>
              <w:rPr>
                <w:sz w:val="19"/>
              </w:rPr>
              <w:t>$93,637</w:t>
            </w:r>
          </w:p>
        </w:tc>
      </w:tr>
      <w:tr>
        <w:tc>
          <w:tcPr>
            <w:tcW w:type="dxa" w:w="3744"/>
          </w:tcPr>
          <w:p>
            <w:r/>
            <w:r>
              <w:rPr>
                <w:sz w:val="19"/>
              </w:rPr>
              <w:t>DSCR (SBA-only)</w:t>
            </w:r>
          </w:p>
        </w:tc>
        <w:tc>
          <w:tcPr>
            <w:tcW w:type="dxa" w:w="2016"/>
          </w:tcPr>
          <w:p>
            <w:r/>
            <w:r>
              <w:rPr>
                <w:sz w:val="19"/>
              </w:rPr>
              <w:t>3.23x</w:t>
            </w:r>
          </w:p>
        </w:tc>
        <w:tc>
          <w:tcPr>
            <w:tcW w:type="dxa" w:w="2016"/>
          </w:tcPr>
          <w:p>
            <w:r/>
            <w:r>
              <w:rPr>
                <w:sz w:val="19"/>
              </w:rPr>
              <w:t>7.26x</w:t>
            </w:r>
          </w:p>
        </w:tc>
        <w:tc>
          <w:tcPr>
            <w:tcW w:type="dxa" w:w="2016"/>
          </w:tcPr>
          <w:p>
            <w:r/>
            <w:r>
              <w:rPr>
                <w:sz w:val="19"/>
              </w:rPr>
              <w:t>10.76x</w:t>
            </w:r>
          </w:p>
        </w:tc>
      </w:tr>
      <w:tr>
        <w:tc>
          <w:tcPr>
            <w:tcW w:type="dxa" w:w="3744"/>
          </w:tcPr>
          <w:p>
            <w:r/>
            <w:r>
              <w:rPr>
                <w:sz w:val="19"/>
              </w:rPr>
              <w:t>Net income</w:t>
            </w:r>
          </w:p>
        </w:tc>
        <w:tc>
          <w:tcPr>
            <w:tcW w:type="dxa" w:w="2016"/>
          </w:tcPr>
          <w:p>
            <w:r/>
            <w:r>
              <w:rPr>
                <w:sz w:val="19"/>
              </w:rPr>
              <w:t>$199,308</w:t>
            </w:r>
          </w:p>
        </w:tc>
        <w:tc>
          <w:tcPr>
            <w:tcW w:type="dxa" w:w="2016"/>
          </w:tcPr>
          <w:p>
            <w:r/>
            <w:r>
              <w:rPr>
                <w:sz w:val="19"/>
              </w:rPr>
              <w:t>$574,951</w:t>
            </w:r>
          </w:p>
        </w:tc>
        <w:tc>
          <w:tcPr>
            <w:tcW w:type="dxa" w:w="2016"/>
          </w:tcPr>
          <w:p>
            <w:r/>
            <w:r>
              <w:rPr>
                <w:sz w:val="19"/>
              </w:rPr>
              <w:t>$903,362</w:t>
            </w:r>
          </w:p>
        </w:tc>
      </w:tr>
    </w:tbl>
    <w:p>
      <w:r>
        <w:rPr>
          <w:b w:val="0"/>
          <w:i w:val="0"/>
          <w:sz w:val="21"/>
        </w:rPr>
        <w:t>Global 3-year DSCR: 7.08x (vs. 1.25x floor). Because the seller is paid in full at close, the SBA loan ($7,803.05/mo, $93,637/yr) is the only debt the business carries, so coverage is strong from Year 1 and rises as census builds. Break-even is approximately 16 ADC, below the validated opening census of ~22 ADC, so the operation is profitable on the opening book.</w:t>
      </w:r>
    </w:p>
    <w:p>
      <w:r>
        <w:rPr>
          <w:b/>
          <w:color w:val="1F3864"/>
          <w:sz w:val="23"/>
        </w:rPr>
        <w:t>11.7 Stress tests (Year-2 steady state, SBA-only debt service, floor 1.25x)</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3456"/>
          </w:tcPr>
          <w:p>
            <w:r/>
            <w:r>
              <w:rPr>
                <w:b/>
                <w:sz w:val="19"/>
              </w:rPr>
              <w:t>Scenario</w:t>
            </w:r>
          </w:p>
        </w:tc>
        <w:tc>
          <w:tcPr>
            <w:tcW w:type="dxa" w:w="2016"/>
          </w:tcPr>
          <w:p>
            <w:r/>
            <w:r>
              <w:rPr>
                <w:b/>
                <w:sz w:val="19"/>
              </w:rPr>
              <w:t>Net revenue</w:t>
            </w:r>
          </w:p>
        </w:tc>
        <w:tc>
          <w:tcPr>
            <w:tcW w:type="dxa" w:w="1872"/>
          </w:tcPr>
          <w:p>
            <w:r/>
            <w:r>
              <w:rPr>
                <w:b/>
                <w:sz w:val="19"/>
              </w:rPr>
              <w:t>EBITDA</w:t>
            </w:r>
          </w:p>
        </w:tc>
        <w:tc>
          <w:tcPr>
            <w:tcW w:type="dxa" w:w="1296"/>
          </w:tcPr>
          <w:p>
            <w:r/>
            <w:r>
              <w:rPr>
                <w:b/>
                <w:sz w:val="19"/>
              </w:rPr>
              <w:t>DSCR</w:t>
            </w:r>
          </w:p>
        </w:tc>
        <w:tc>
          <w:tcPr>
            <w:tcW w:type="dxa" w:w="1296"/>
          </w:tcPr>
          <w:p>
            <w:r/>
            <w:r>
              <w:rPr>
                <w:b/>
                <w:sz w:val="19"/>
              </w:rPr>
              <w:t>Clears?</w:t>
            </w:r>
          </w:p>
        </w:tc>
      </w:tr>
      <w:tr>
        <w:tc>
          <w:tcPr>
            <w:tcW w:type="dxa" w:w="3456"/>
          </w:tcPr>
          <w:p>
            <w:r/>
            <w:r>
              <w:rPr>
                <w:sz w:val="19"/>
              </w:rPr>
              <w:t>Base (Year 2)</w:t>
            </w:r>
          </w:p>
        </w:tc>
        <w:tc>
          <w:tcPr>
            <w:tcW w:type="dxa" w:w="2016"/>
          </w:tcPr>
          <w:p>
            <w:r/>
            <w:r>
              <w:rPr>
                <w:sz w:val="19"/>
              </w:rPr>
              <w:t>$2,728,642</w:t>
            </w:r>
          </w:p>
        </w:tc>
        <w:tc>
          <w:tcPr>
            <w:tcW w:type="dxa" w:w="1872"/>
          </w:tcPr>
          <w:p>
            <w:r/>
            <w:r>
              <w:rPr>
                <w:sz w:val="19"/>
              </w:rPr>
              <w:t>$679,524</w:t>
            </w:r>
          </w:p>
        </w:tc>
        <w:tc>
          <w:tcPr>
            <w:tcW w:type="dxa" w:w="1296"/>
          </w:tcPr>
          <w:p>
            <w:r/>
            <w:r>
              <w:rPr>
                <w:sz w:val="19"/>
              </w:rPr>
              <w:t>7.26x</w:t>
            </w:r>
          </w:p>
        </w:tc>
        <w:tc>
          <w:tcPr>
            <w:tcW w:type="dxa" w:w="1296"/>
          </w:tcPr>
          <w:p>
            <w:r/>
            <w:r>
              <w:rPr>
                <w:sz w:val="19"/>
              </w:rPr>
              <w:t>Yes</w:t>
            </w:r>
          </w:p>
        </w:tc>
      </w:tr>
      <w:tr>
        <w:tc>
          <w:tcPr>
            <w:tcW w:type="dxa" w:w="3456"/>
          </w:tcPr>
          <w:p>
            <w:r/>
            <w:r>
              <w:rPr>
                <w:sz w:val="19"/>
              </w:rPr>
              <w:t>Census -20% (static roster)</w:t>
            </w:r>
          </w:p>
        </w:tc>
        <w:tc>
          <w:tcPr>
            <w:tcW w:type="dxa" w:w="2016"/>
          </w:tcPr>
          <w:p>
            <w:r/>
            <w:r>
              <w:rPr>
                <w:sz w:val="19"/>
              </w:rPr>
              <w:t>$2,182,913</w:t>
            </w:r>
          </w:p>
        </w:tc>
        <w:tc>
          <w:tcPr>
            <w:tcW w:type="dxa" w:w="1872"/>
          </w:tcPr>
          <w:p>
            <w:r/>
            <w:r>
              <w:rPr>
                <w:sz w:val="19"/>
              </w:rPr>
              <w:t>$186,766</w:t>
            </w:r>
          </w:p>
        </w:tc>
        <w:tc>
          <w:tcPr>
            <w:tcW w:type="dxa" w:w="1296"/>
          </w:tcPr>
          <w:p>
            <w:r/>
            <w:r>
              <w:rPr>
                <w:sz w:val="19"/>
              </w:rPr>
              <w:t>1.99x</w:t>
            </w:r>
          </w:p>
        </w:tc>
        <w:tc>
          <w:tcPr>
            <w:tcW w:type="dxa" w:w="1296"/>
          </w:tcPr>
          <w:p>
            <w:r/>
            <w:r>
              <w:rPr>
                <w:sz w:val="19"/>
              </w:rPr>
              <w:t>Yes</w:t>
            </w:r>
          </w:p>
        </w:tc>
      </w:tr>
      <w:tr>
        <w:tc>
          <w:tcPr>
            <w:tcW w:type="dxa" w:w="3456"/>
          </w:tcPr>
          <w:p>
            <w:r/>
            <w:r>
              <w:rPr>
                <w:sz w:val="19"/>
              </w:rPr>
              <w:t>Census -35% (static roster)</w:t>
            </w:r>
          </w:p>
        </w:tc>
        <w:tc>
          <w:tcPr>
            <w:tcW w:type="dxa" w:w="2016"/>
          </w:tcPr>
          <w:p>
            <w:r/>
            <w:r>
              <w:rPr>
                <w:sz w:val="19"/>
              </w:rPr>
              <w:t>$1,773,617</w:t>
            </w:r>
          </w:p>
        </w:tc>
        <w:tc>
          <w:tcPr>
            <w:tcW w:type="dxa" w:w="1872"/>
          </w:tcPr>
          <w:p>
            <w:r/>
            <w:r>
              <w:rPr>
                <w:sz w:val="19"/>
              </w:rPr>
              <w:t>($182,802)</w:t>
            </w:r>
          </w:p>
        </w:tc>
        <w:tc>
          <w:tcPr>
            <w:tcW w:type="dxa" w:w="1296"/>
          </w:tcPr>
          <w:p>
            <w:r/>
            <w:r>
              <w:rPr>
                <w:sz w:val="19"/>
              </w:rPr>
              <w:t>&lt;0</w:t>
            </w:r>
          </w:p>
        </w:tc>
        <w:tc>
          <w:tcPr>
            <w:tcW w:type="dxa" w:w="1296"/>
          </w:tcPr>
          <w:p>
            <w:r/>
            <w:r>
              <w:rPr>
                <w:sz w:val="19"/>
              </w:rPr>
              <w:t>No</w:t>
            </w:r>
          </w:p>
        </w:tc>
      </w:tr>
      <w:tr>
        <w:tc>
          <w:tcPr>
            <w:tcW w:type="dxa" w:w="3456"/>
          </w:tcPr>
          <w:p>
            <w:r/>
            <w:r>
              <w:rPr>
                <w:sz w:val="19"/>
              </w:rPr>
              <w:t>Wage +10% (fixed-cost shock)</w:t>
            </w:r>
          </w:p>
        </w:tc>
        <w:tc>
          <w:tcPr>
            <w:tcW w:type="dxa" w:w="2016"/>
          </w:tcPr>
          <w:p>
            <w:r/>
            <w:r>
              <w:rPr>
                <w:sz w:val="19"/>
              </w:rPr>
              <w:t>$2,728,642</w:t>
            </w:r>
          </w:p>
        </w:tc>
        <w:tc>
          <w:tcPr>
            <w:tcW w:type="dxa" w:w="1872"/>
          </w:tcPr>
          <w:p>
            <w:r/>
            <w:r>
              <w:rPr>
                <w:sz w:val="19"/>
              </w:rPr>
              <w:t>$501,098</w:t>
            </w:r>
          </w:p>
        </w:tc>
        <w:tc>
          <w:tcPr>
            <w:tcW w:type="dxa" w:w="1296"/>
          </w:tcPr>
          <w:p>
            <w:r/>
            <w:r>
              <w:rPr>
                <w:sz w:val="19"/>
              </w:rPr>
              <w:t>5.35x</w:t>
            </w:r>
          </w:p>
        </w:tc>
        <w:tc>
          <w:tcPr>
            <w:tcW w:type="dxa" w:w="1296"/>
          </w:tcPr>
          <w:p>
            <w:r/>
            <w:r>
              <w:rPr>
                <w:sz w:val="19"/>
              </w:rPr>
              <w:t>Yes</w:t>
            </w:r>
          </w:p>
        </w:tc>
      </w:tr>
      <w:tr>
        <w:tc>
          <w:tcPr>
            <w:tcW w:type="dxa" w:w="3456"/>
          </w:tcPr>
          <w:p>
            <w:r/>
            <w:r>
              <w:rPr>
                <w:sz w:val="19"/>
              </w:rPr>
              <w:t>Combined (-20% census / +10% cost)</w:t>
            </w:r>
          </w:p>
        </w:tc>
        <w:tc>
          <w:tcPr>
            <w:tcW w:type="dxa" w:w="2016"/>
          </w:tcPr>
          <w:p>
            <w:r/>
            <w:r>
              <w:rPr>
                <w:sz w:val="19"/>
              </w:rPr>
              <w:t>$2,182,913</w:t>
            </w:r>
          </w:p>
        </w:tc>
        <w:tc>
          <w:tcPr>
            <w:tcW w:type="dxa" w:w="1872"/>
          </w:tcPr>
          <w:p>
            <w:r/>
            <w:r>
              <w:rPr>
                <w:sz w:val="19"/>
              </w:rPr>
              <w:t>$8,340</w:t>
            </w:r>
          </w:p>
        </w:tc>
        <w:tc>
          <w:tcPr>
            <w:tcW w:type="dxa" w:w="1296"/>
          </w:tcPr>
          <w:p>
            <w:r/>
            <w:r>
              <w:rPr>
                <w:sz w:val="19"/>
              </w:rPr>
              <w:t>0.09x</w:t>
            </w:r>
          </w:p>
        </w:tc>
        <w:tc>
          <w:tcPr>
            <w:tcW w:type="dxa" w:w="1296"/>
          </w:tcPr>
          <w:p>
            <w:r/>
            <w:r>
              <w:rPr>
                <w:sz w:val="19"/>
              </w:rPr>
              <w:t>No</w:t>
            </w:r>
          </w:p>
        </w:tc>
      </w:tr>
    </w:tbl>
    <w:p>
      <w:r>
        <w:rPr>
          <w:b w:val="0"/>
          <w:i w:val="0"/>
          <w:sz w:val="21"/>
        </w:rPr>
        <w:t>Reading the stress tests. Because the seller is paid at close, debt service is the SBA loan alone ($93,637), and Year-2 coverage absorbs a great deal: the base case covers at 7.26x, a sustained 20% census drop still clears at 1.99x, and a 10% fixed-cost spike clears at 5.35x. Only the extreme cases fail - a 35% census collapse turns EBITDA negative, and a severe combined shock (-20% census AND +10% costs, full roster held constant) is essentially uncovered (0.09x). Even these understate resilience: (1) the roster is census-driven, so a 20-35% lower census carries a lighter cost base than the static test assumes; (2) the binding variable is census, which is why opening census is the validated ~22 ADC book (break-even ~16 ADC), not a cold start; and (3) the $372K reserve bridges timing shortfalls. A detailed Year-1 single-factor and combined sensitivity is in the separate DSCR Sensitivity / Stress-Test memorandum.</w:t>
      </w:r>
    </w:p>
    <w:p>
      <w:r>
        <w:rPr>
          <w:b/>
          <w:color w:val="1F3864"/>
          <w:sz w:val="23"/>
        </w:rPr>
        <w:t>11.8 Proof: actuals vs. model</w:t>
      </w:r>
    </w:p>
    <w:p>
      <w:r>
        <w:rPr>
          <w:b w:val="0"/>
          <w:i w:val="0"/>
          <w:sz w:val="21"/>
        </w:rPr>
        <w:t>The model is not pure projection - its economics are benchmarked to the acquired book's actual operating results (Apr-Jun 2025), which reconcile to the model's opening steady state within ~2%. April-June average net revenue was approximately $118,400/mo at ~22 ADC; the model's opening steady-state month is ~$121,000 (+2.2%). Patient-related COGS also reconcile to the actuals. Payroll differs by design - Azalea's staggered W-2 roster plus benefits and go-forward Medical Directors versus the acquired book's blended run.</w:t>
      </w:r>
    </w:p>
    <w:p>
      <w:r>
        <w:br w:type="page"/>
      </w:r>
    </w:p>
    <w:p>
      <w:r>
        <w:rPr>
          <w:b/>
          <w:color w:val="1F3864"/>
          <w:sz w:val="30"/>
        </w:rPr>
        <w:t>12 - Risk Factors and Mitigations</w:t>
      </w:r>
    </w:p>
    <w:p>
      <w:r>
        <w:rPr>
          <w:b w:val="0"/>
          <w:i w:val="0"/>
          <w:sz w:val="21"/>
        </w:rPr>
        <w:t>The dominant risks are the newco's lack of operating history and the census ramp - both mitigated by validated, benchmarked economics, a CHOW that keeps the agency billing from day one, an experienced operator, and a well-capitalized single-loan structure (seller paid at close).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448"/>
          </w:tcPr>
          <w:p>
            <w:r/>
            <w:r>
              <w:rPr>
                <w:b/>
                <w:sz w:val="19"/>
              </w:rPr>
              <w:t>Risk</w:t>
            </w:r>
          </w:p>
        </w:tc>
        <w:tc>
          <w:tcPr>
            <w:tcW w:type="dxa" w:w="864"/>
          </w:tcPr>
          <w:p>
            <w:r/>
            <w:r>
              <w:rPr>
                <w:b/>
                <w:sz w:val="19"/>
              </w:rPr>
              <w:t>Prob.</w:t>
            </w:r>
          </w:p>
        </w:tc>
        <w:tc>
          <w:tcPr>
            <w:tcW w:type="dxa" w:w="864"/>
          </w:tcPr>
          <w:p>
            <w:r/>
            <w:r>
              <w:rPr>
                <w:b/>
                <w:sz w:val="19"/>
              </w:rPr>
              <w:t>Impact</w:t>
            </w:r>
          </w:p>
        </w:tc>
        <w:tc>
          <w:tcPr>
            <w:tcW w:type="dxa" w:w="5184"/>
          </w:tcPr>
          <w:p>
            <w:r/>
            <w:r>
              <w:rPr>
                <w:b/>
                <w:sz w:val="19"/>
              </w:rPr>
              <w:t>Mitigation</w:t>
            </w:r>
          </w:p>
        </w:tc>
      </w:tr>
      <w:tr>
        <w:tc>
          <w:tcPr>
            <w:tcW w:type="dxa" w:w="2448"/>
          </w:tcPr>
          <w:p>
            <w:r/>
            <w:r>
              <w:rPr>
                <w:sz w:val="19"/>
              </w:rPr>
              <w:t>Debt service / coverage</w:t>
            </w:r>
          </w:p>
        </w:tc>
        <w:tc>
          <w:tcPr>
            <w:tcW w:type="dxa" w:w="864"/>
          </w:tcPr>
          <w:p>
            <w:r/>
            <w:r>
              <w:rPr>
                <w:sz w:val="19"/>
              </w:rPr>
              <w:t>Low</w:t>
            </w:r>
          </w:p>
        </w:tc>
        <w:tc>
          <w:tcPr>
            <w:tcW w:type="dxa" w:w="864"/>
          </w:tcPr>
          <w:p>
            <w:r/>
            <w:r>
              <w:rPr>
                <w:sz w:val="19"/>
              </w:rPr>
              <w:t>Med</w:t>
            </w:r>
          </w:p>
        </w:tc>
        <w:tc>
          <w:tcPr>
            <w:tcW w:type="dxa" w:w="5184"/>
          </w:tcPr>
          <w:p>
            <w:r/>
            <w:r>
              <w:rPr>
                <w:sz w:val="19"/>
              </w:rPr>
              <w:t>Seller paid at close, so the SBA loan is the only debt; DSCR clears the 1.25x floor annually and rises 3.23x -&gt; 10.76x (global 7.08x)</w:t>
            </w:r>
          </w:p>
        </w:tc>
      </w:tr>
      <w:tr>
        <w:tc>
          <w:tcPr>
            <w:tcW w:type="dxa" w:w="2448"/>
          </w:tcPr>
          <w:p>
            <w:r/>
            <w:r>
              <w:rPr>
                <w:sz w:val="19"/>
              </w:rPr>
              <w:t>CHOW transition / cash timing</w:t>
            </w:r>
          </w:p>
        </w:tc>
        <w:tc>
          <w:tcPr>
            <w:tcW w:type="dxa" w:w="864"/>
          </w:tcPr>
          <w:p>
            <w:r/>
            <w:r>
              <w:rPr>
                <w:sz w:val="19"/>
              </w:rPr>
              <w:t>Low</w:t>
            </w:r>
          </w:p>
        </w:tc>
        <w:tc>
          <w:tcPr>
            <w:tcW w:type="dxa" w:w="864"/>
          </w:tcPr>
          <w:p>
            <w:r/>
            <w:r>
              <w:rPr>
                <w:sz w:val="19"/>
              </w:rPr>
              <w:t>Med</w:t>
            </w:r>
          </w:p>
        </w:tc>
        <w:tc>
          <w:tcPr>
            <w:tcW w:type="dxa" w:w="5184"/>
          </w:tcPr>
          <w:p>
            <w:r/>
            <w:r>
              <w:rPr>
                <w:sz w:val="19"/>
              </w:rPr>
              <w:t>CHOW preserves the provider number (billing-ready day one); $372K reserve funds any claims-processing pause; only SBA debt service to cover</w:t>
            </w:r>
          </w:p>
        </w:tc>
      </w:tr>
      <w:tr>
        <w:tc>
          <w:tcPr>
            <w:tcW w:type="dxa" w:w="2448"/>
          </w:tcPr>
          <w:p>
            <w:r/>
            <w:r>
              <w:rPr>
                <w:sz w:val="19"/>
              </w:rPr>
              <w:t>Slower census ramp</w:t>
            </w:r>
          </w:p>
        </w:tc>
        <w:tc>
          <w:tcPr>
            <w:tcW w:type="dxa" w:w="864"/>
          </w:tcPr>
          <w:p>
            <w:r/>
            <w:r>
              <w:rPr>
                <w:sz w:val="19"/>
              </w:rPr>
              <w:t>Med</w:t>
            </w:r>
          </w:p>
        </w:tc>
        <w:tc>
          <w:tcPr>
            <w:tcW w:type="dxa" w:w="864"/>
          </w:tcPr>
          <w:p>
            <w:r/>
            <w:r>
              <w:rPr>
                <w:sz w:val="19"/>
              </w:rPr>
              <w:t>High</w:t>
            </w:r>
          </w:p>
        </w:tc>
        <w:tc>
          <w:tcPr>
            <w:tcW w:type="dxa" w:w="5184"/>
          </w:tcPr>
          <w:p>
            <w:r/>
            <w:r>
              <w:rPr>
                <w:sz w:val="19"/>
              </w:rPr>
              <w:t>Opening census is the validated ~22 ADC book, not a cold start; break-even ~16 ADC; capacity hires are census-gated so cost flexes with volume; liquidity covers timing shortfalls</w:t>
            </w:r>
          </w:p>
        </w:tc>
      </w:tr>
      <w:tr>
        <w:tc>
          <w:tcPr>
            <w:tcW w:type="dxa" w:w="2448"/>
          </w:tcPr>
          <w:p>
            <w:r/>
            <w:r>
              <w:rPr>
                <w:sz w:val="19"/>
              </w:rPr>
              <w:t>Wage inflation</w:t>
            </w:r>
          </w:p>
        </w:tc>
        <w:tc>
          <w:tcPr>
            <w:tcW w:type="dxa" w:w="864"/>
          </w:tcPr>
          <w:p>
            <w:r/>
            <w:r>
              <w:rPr>
                <w:sz w:val="19"/>
              </w:rPr>
              <w:t>Med</w:t>
            </w:r>
          </w:p>
        </w:tc>
        <w:tc>
          <w:tcPr>
            <w:tcW w:type="dxa" w:w="864"/>
          </w:tcPr>
          <w:p>
            <w:r/>
            <w:r>
              <w:rPr>
                <w:sz w:val="19"/>
              </w:rPr>
              <w:t>Med</w:t>
            </w:r>
          </w:p>
        </w:tc>
        <w:tc>
          <w:tcPr>
            <w:tcW w:type="dxa" w:w="5184"/>
          </w:tcPr>
          <w:p>
            <w:r/>
            <w:r>
              <w:rPr>
                <w:sz w:val="19"/>
              </w:rPr>
              <w:t>+10% fixed-cost shock holds at 5.35x in Year 2; 3% merit modeled; PRN pool buffers</w:t>
            </w:r>
          </w:p>
        </w:tc>
      </w:tr>
      <w:tr>
        <w:tc>
          <w:tcPr>
            <w:tcW w:type="dxa" w:w="2448"/>
          </w:tcPr>
          <w:p>
            <w:r/>
            <w:r>
              <w:rPr>
                <w:sz w:val="19"/>
              </w:rPr>
              <w:t>CMS rate / regulatory change</w:t>
            </w:r>
          </w:p>
        </w:tc>
        <w:tc>
          <w:tcPr>
            <w:tcW w:type="dxa" w:w="864"/>
          </w:tcPr>
          <w:p>
            <w:r/>
            <w:r>
              <w:rPr>
                <w:sz w:val="19"/>
              </w:rPr>
              <w:t>Low</w:t>
            </w:r>
          </w:p>
        </w:tc>
        <w:tc>
          <w:tcPr>
            <w:tcW w:type="dxa" w:w="864"/>
          </w:tcPr>
          <w:p>
            <w:r/>
            <w:r>
              <w:rPr>
                <w:sz w:val="19"/>
              </w:rPr>
              <w:t>Med</w:t>
            </w:r>
          </w:p>
        </w:tc>
        <w:tc>
          <w:tcPr>
            <w:tcW w:type="dxa" w:w="5184"/>
          </w:tcPr>
          <w:p>
            <w:r/>
            <w:r>
              <w:rPr>
                <w:sz w:val="19"/>
              </w:rPr>
              <w:t>Rates up or flat every year since 2010; only a conservative 2.5%/yr escalation assumed</w:t>
            </w:r>
          </w:p>
        </w:tc>
      </w:tr>
      <w:tr>
        <w:tc>
          <w:tcPr>
            <w:tcW w:type="dxa" w:w="2448"/>
          </w:tcPr>
          <w:p>
            <w:r/>
            <w:r>
              <w:rPr>
                <w:sz w:val="19"/>
              </w:rPr>
              <w:t>Key-person dependency</w:t>
            </w:r>
          </w:p>
        </w:tc>
        <w:tc>
          <w:tcPr>
            <w:tcW w:type="dxa" w:w="864"/>
          </w:tcPr>
          <w:p>
            <w:r/>
            <w:r>
              <w:rPr>
                <w:sz w:val="19"/>
              </w:rPr>
              <w:t>Low</w:t>
            </w:r>
          </w:p>
        </w:tc>
        <w:tc>
          <w:tcPr>
            <w:tcW w:type="dxa" w:w="864"/>
          </w:tcPr>
          <w:p>
            <w:r/>
            <w:r>
              <w:rPr>
                <w:sz w:val="19"/>
              </w:rPr>
              <w:t>Med</w:t>
            </w:r>
          </w:p>
        </w:tc>
        <w:tc>
          <w:tcPr>
            <w:tcW w:type="dxa" w:w="5184"/>
          </w:tcPr>
          <w:p>
            <w:r/>
            <w:r>
              <w:rPr>
                <w:sz w:val="19"/>
              </w:rPr>
              <w:t>Operators are owners (13.3% each, milestone-vested); Executive Director leads day-to-day; OA key-person succession provisions</w:t>
            </w:r>
          </w:p>
        </w:tc>
      </w:tr>
      <w:tr>
        <w:tc>
          <w:tcPr>
            <w:tcW w:type="dxa" w:w="2448"/>
          </w:tcPr>
          <w:p>
            <w:r/>
            <w:r>
              <w:rPr>
                <w:sz w:val="19"/>
              </w:rPr>
              <w:t>Equity injection phased</w:t>
            </w:r>
          </w:p>
        </w:tc>
        <w:tc>
          <w:tcPr>
            <w:tcW w:type="dxa" w:w="864"/>
          </w:tcPr>
          <w:p>
            <w:r/>
            <w:r>
              <w:rPr>
                <w:sz w:val="19"/>
              </w:rPr>
              <w:t>Low</w:t>
            </w:r>
          </w:p>
        </w:tc>
        <w:tc>
          <w:tcPr>
            <w:tcW w:type="dxa" w:w="864"/>
          </w:tcPr>
          <w:p>
            <w:r/>
            <w:r>
              <w:rPr>
                <w:sz w:val="19"/>
              </w:rPr>
              <w:t>Low</w:t>
            </w:r>
          </w:p>
        </w:tc>
        <w:tc>
          <w:tcPr>
            <w:tcW w:type="dxa" w:w="5184"/>
          </w:tcPr>
          <w:p>
            <w:r/>
            <w:r>
              <w:rPr>
                <w:sz w:val="19"/>
              </w:rPr>
              <w:t>$100K on deposit; balance committed; SBA disbursement sequenced after full injection per SOP 50 10 8</w:t>
            </w:r>
          </w:p>
        </w:tc>
      </w:tr>
      <w:tr>
        <w:tc>
          <w:tcPr>
            <w:tcW w:type="dxa" w:w="2448"/>
          </w:tcPr>
          <w:p>
            <w:r/>
            <w:r>
              <w:rPr>
                <w:sz w:val="19"/>
              </w:rPr>
              <w:t>Newco / no operating history</w:t>
            </w:r>
          </w:p>
        </w:tc>
        <w:tc>
          <w:tcPr>
            <w:tcW w:type="dxa" w:w="864"/>
          </w:tcPr>
          <w:p>
            <w:r/>
            <w:r>
              <w:rPr>
                <w:sz w:val="19"/>
              </w:rPr>
              <w:t>Med</w:t>
            </w:r>
          </w:p>
        </w:tc>
        <w:tc>
          <w:tcPr>
            <w:tcW w:type="dxa" w:w="864"/>
          </w:tcPr>
          <w:p>
            <w:r/>
            <w:r>
              <w:rPr>
                <w:sz w:val="19"/>
              </w:rPr>
              <w:t>Med</w:t>
            </w:r>
          </w:p>
        </w:tc>
        <w:tc>
          <w:tcPr>
            <w:tcW w:type="dxa" w:w="5184"/>
          </w:tcPr>
          <w:p>
            <w:r/>
            <w:r>
              <w:rPr>
                <w:sz w:val="19"/>
              </w:rPr>
              <w:t>Acquires an established billing-ready agency benchmarked to actual collections; operator has 10+ years of hospice ownership; 26% equity injection</w:t>
            </w:r>
          </w:p>
        </w:tc>
      </w:tr>
    </w:tbl>
    <w:p>
      <w:r>
        <w:rPr>
          <w:b w:val="0"/>
          <w:i w:val="0"/>
          <w:sz w:val="21"/>
        </w:rPr>
        <w:t>The credit's core protection is liquidity and a clean structure: a $372,000 opening reserve plus a single SBA loan (the seller is paid at close, so there is no second debt layer) keep Azalea solvent and well-covered through the modeled scenarios.</w:t>
      </w:r>
    </w:p>
    <w:p>
      <w:r>
        <w:br w:type="page"/>
      </w:r>
    </w:p>
    <w:p>
      <w:r>
        <w:rPr>
          <w:b/>
          <w:color w:val="1F3864"/>
          <w:sz w:val="30"/>
        </w:rPr>
        <w:t>13 - Milestones and Conclusion</w:t>
      </w:r>
    </w:p>
    <w:p>
      <w:r>
        <w:rPr>
          <w:b/>
          <w:color w:val="1F3864"/>
          <w:sz w:val="23"/>
        </w:rPr>
        <w:t>13.1 Launch &amp; growth milestones</w:t>
      </w:r>
    </w:p>
    <w:tbl>
      <w:tblPr>
        <w:tblStyle w:val="LightGrid-Accent1"/>
        <w:tblW w:type="auto" w:w="0"/>
        <w:jc w:val="left"/>
        <w:tblLook w:firstColumn="1" w:firstRow="1" w:lastColumn="0" w:lastRow="0" w:noHBand="0" w:noVBand="1" w:val="04A0"/>
      </w:tblPr>
      <w:tblGrid>
        <w:gridCol w:w="2880"/>
        <w:gridCol w:w="2880"/>
        <w:gridCol w:w="2880"/>
      </w:tblGrid>
      <w:tr>
        <w:tc>
          <w:tcPr>
            <w:tcW w:type="dxa" w:w="2160"/>
          </w:tcPr>
          <w:p>
            <w:r/>
            <w:r>
              <w:rPr>
                <w:b/>
                <w:sz w:val="19"/>
              </w:rPr>
              <w:t>Window</w:t>
            </w:r>
          </w:p>
        </w:tc>
        <w:tc>
          <w:tcPr>
            <w:tcW w:type="dxa" w:w="4176"/>
          </w:tcPr>
          <w:p>
            <w:r/>
            <w:r>
              <w:rPr>
                <w:b/>
                <w:sz w:val="19"/>
              </w:rPr>
              <w:t>Milestone</w:t>
            </w:r>
          </w:p>
        </w:tc>
        <w:tc>
          <w:tcPr>
            <w:tcW w:type="dxa" w:w="3024"/>
          </w:tcPr>
          <w:p>
            <w:r/>
            <w:r>
              <w:rPr>
                <w:b/>
                <w:sz w:val="19"/>
              </w:rPr>
              <w:t>Verification</w:t>
            </w:r>
          </w:p>
        </w:tc>
      </w:tr>
      <w:tr>
        <w:tc>
          <w:tcPr>
            <w:tcW w:type="dxa" w:w="2160"/>
          </w:tcPr>
          <w:p>
            <w:r/>
            <w:r>
              <w:rPr>
                <w:sz w:val="19"/>
              </w:rPr>
              <w:t>Through July 2026</w:t>
            </w:r>
          </w:p>
        </w:tc>
        <w:tc>
          <w:tcPr>
            <w:tcW w:type="dxa" w:w="4176"/>
          </w:tcPr>
          <w:p>
            <w:r/>
            <w:r>
              <w:rPr>
                <w:sz w:val="19"/>
              </w:rPr>
              <w:t>Full $195K equity injection on deposit</w:t>
            </w:r>
          </w:p>
        </w:tc>
        <w:tc>
          <w:tcPr>
            <w:tcW w:type="dxa" w:w="3024"/>
          </w:tcPr>
          <w:p>
            <w:r/>
            <w:r>
              <w:rPr>
                <w:sz w:val="19"/>
              </w:rPr>
              <w:t>Bank statements (Mercury acct ****1275) + Bullard source-of-funds</w:t>
            </w:r>
          </w:p>
        </w:tc>
      </w:tr>
      <w:tr>
        <w:tc>
          <w:tcPr>
            <w:tcW w:type="dxa" w:w="2160"/>
          </w:tcPr>
          <w:p>
            <w:r/>
            <w:r>
              <w:rPr>
                <w:sz w:val="19"/>
              </w:rPr>
              <w:t>Late July 2026</w:t>
            </w:r>
          </w:p>
        </w:tc>
        <w:tc>
          <w:tcPr>
            <w:tcW w:type="dxa" w:w="4176"/>
          </w:tcPr>
          <w:p>
            <w:r/>
            <w:r>
              <w:rPr>
                <w:sz w:val="19"/>
              </w:rPr>
              <w:t>Close Hickory CHOW; banking &amp; insurance updated</w:t>
            </w:r>
          </w:p>
        </w:tc>
        <w:tc>
          <w:tcPr>
            <w:tcW w:type="dxa" w:w="3024"/>
          </w:tcPr>
          <w:p>
            <w:r/>
            <w:r>
              <w:rPr>
                <w:sz w:val="19"/>
              </w:rPr>
              <w:t>Purchase agreement + cert. of insurance</w:t>
            </w:r>
          </w:p>
        </w:tc>
      </w:tr>
      <w:tr>
        <w:tc>
          <w:tcPr>
            <w:tcW w:type="dxa" w:w="2160"/>
          </w:tcPr>
          <w:p>
            <w:r/>
            <w:r>
              <w:rPr>
                <w:sz w:val="19"/>
              </w:rPr>
              <w:t>Months 1-3</w:t>
            </w:r>
          </w:p>
        </w:tc>
        <w:tc>
          <w:tcPr>
            <w:tcW w:type="dxa" w:w="4176"/>
          </w:tcPr>
          <w:p>
            <w:r/>
            <w:r>
              <w:rPr>
                <w:sz w:val="19"/>
              </w:rPr>
              <w:t>CMS-855A filed; staff retained; EMR transitioned</w:t>
            </w:r>
          </w:p>
        </w:tc>
        <w:tc>
          <w:tcPr>
            <w:tcW w:type="dxa" w:w="3024"/>
          </w:tcPr>
          <w:p>
            <w:r/>
            <w:r>
              <w:rPr>
                <w:sz w:val="19"/>
              </w:rPr>
              <w:t>855A CHOW receipt + payroll</w:t>
            </w:r>
          </w:p>
        </w:tc>
      </w:tr>
      <w:tr>
        <w:tc>
          <w:tcPr>
            <w:tcW w:type="dxa" w:w="2160"/>
          </w:tcPr>
          <w:p>
            <w:r/>
            <w:r>
              <w:rPr>
                <w:sz w:val="19"/>
              </w:rPr>
              <w:t>Months 1-3</w:t>
            </w:r>
          </w:p>
        </w:tc>
        <w:tc>
          <w:tcPr>
            <w:tcW w:type="dxa" w:w="4176"/>
          </w:tcPr>
          <w:p>
            <w:r/>
            <w:r>
              <w:rPr>
                <w:sz w:val="19"/>
              </w:rPr>
              <w:t>License &amp; CHAP/ACHC accreditation transfer; billing uninterrupted</w:t>
            </w:r>
          </w:p>
        </w:tc>
        <w:tc>
          <w:tcPr>
            <w:tcW w:type="dxa" w:w="3024"/>
          </w:tcPr>
          <w:p>
            <w:r/>
            <w:r>
              <w:rPr>
                <w:sz w:val="19"/>
              </w:rPr>
              <w:t>License / accreditation transfer</w:t>
            </w:r>
          </w:p>
        </w:tc>
      </w:tr>
      <w:tr>
        <w:tc>
          <w:tcPr>
            <w:tcW w:type="dxa" w:w="2160"/>
          </w:tcPr>
          <w:p>
            <w:r/>
            <w:r>
              <w:rPr>
                <w:sz w:val="19"/>
              </w:rPr>
              <w:t>Months 4-6</w:t>
            </w:r>
          </w:p>
        </w:tc>
        <w:tc>
          <w:tcPr>
            <w:tcW w:type="dxa" w:w="4176"/>
          </w:tcPr>
          <w:p>
            <w:r/>
            <w:r>
              <w:rPr>
                <w:sz w:val="19"/>
              </w:rPr>
              <w:t>BD ramp; AR normalizes to ~45-day cycle</w:t>
            </w:r>
          </w:p>
        </w:tc>
        <w:tc>
          <w:tcPr>
            <w:tcW w:type="dxa" w:w="3024"/>
          </w:tcPr>
          <w:p>
            <w:r/>
            <w:r>
              <w:rPr>
                <w:sz w:val="19"/>
              </w:rPr>
              <w:t>CRM report + AR aging &lt; 45 days</w:t>
            </w:r>
          </w:p>
        </w:tc>
      </w:tr>
      <w:tr>
        <w:tc>
          <w:tcPr>
            <w:tcW w:type="dxa" w:w="2160"/>
          </w:tcPr>
          <w:p>
            <w:r/>
            <w:r>
              <w:rPr>
                <w:sz w:val="19"/>
              </w:rPr>
              <w:t>Months 7-12</w:t>
            </w:r>
          </w:p>
        </w:tc>
        <w:tc>
          <w:tcPr>
            <w:tcW w:type="dxa" w:w="4176"/>
          </w:tcPr>
          <w:p>
            <w:r/>
            <w:r>
              <w:rPr>
                <w:sz w:val="19"/>
              </w:rPr>
              <w:t>Census builds toward ~24 ADC; DSCR well above 1.25x</w:t>
            </w:r>
          </w:p>
        </w:tc>
        <w:tc>
          <w:tcPr>
            <w:tcW w:type="dxa" w:w="3024"/>
          </w:tcPr>
          <w:p>
            <w:r/>
            <w:r>
              <w:rPr>
                <w:sz w:val="19"/>
              </w:rPr>
              <w:t>Monthly financials</w:t>
            </w:r>
          </w:p>
        </w:tc>
      </w:tr>
      <w:tr>
        <w:tc>
          <w:tcPr>
            <w:tcW w:type="dxa" w:w="2160"/>
          </w:tcPr>
          <w:p>
            <w:r/>
            <w:r>
              <w:rPr>
                <w:sz w:val="19"/>
              </w:rPr>
              <w:t>Years 2-3</w:t>
            </w:r>
          </w:p>
        </w:tc>
        <w:tc>
          <w:tcPr>
            <w:tcW w:type="dxa" w:w="4176"/>
          </w:tcPr>
          <w:p>
            <w:r/>
            <w:r>
              <w:rPr>
                <w:sz w:val="19"/>
              </w:rPr>
              <w:t>Capacity hires triggered by ADC; census to ~54 ADC; coverage rises above 10x</w:t>
            </w:r>
          </w:p>
        </w:tc>
        <w:tc>
          <w:tcPr>
            <w:tcW w:type="dxa" w:w="3024"/>
          </w:tcPr>
          <w:p>
            <w:r/>
            <w:r>
              <w:rPr>
                <w:sz w:val="19"/>
              </w:rPr>
              <w:t>Board reviews</w:t>
            </w:r>
          </w:p>
        </w:tc>
      </w:tr>
    </w:tbl>
    <w:p>
      <w:r>
        <w:rPr>
          <w:b/>
          <w:color w:val="1F3864"/>
          <w:sz w:val="23"/>
        </w:rPr>
        <w:t>13.2 Conclusion</w:t>
      </w:r>
    </w:p>
    <w:p>
      <w:r>
        <w:rPr>
          <w:b w:val="0"/>
          <w:i w:val="0"/>
          <w:sz w:val="21"/>
        </w:rPr>
        <w:t>Azalea is a well-structured SBA 7(a) opportunity: the startup CHOW acquisition and relaunch of an established, Medicare-certified hospice on validated economics, led by an operator with 10+ years of hospice ownership. The credit rests on three verifiable points: (1) the acquired book's actual operating results, which the opening steady-state model reconciles to within ~2%; (2) a base case whose DSCR clears the 1.25x floor and strengthens every year (3.23x -&gt; 7.26x -&gt; 10.76x; global 7.08x), because the seller is paid at close and the SBA loan is the only debt; and (3) a well-capitalized structure - $195K cash equity (26% of project) and a $372K opening reserve - that keeps liquidity intact through stress scenarios. The binding risk is a sustained census shortfall, mitigated by a validated opening book above break-even, a census-driven cost structure, and substantial liquidity.</w:t>
      </w:r>
    </w:p>
    <w:p>
      <w:r>
        <w:rPr>
          <w:b w:val="0"/>
          <w:i w:val="0"/>
          <w:sz w:val="21"/>
        </w:rPr>
      </w:r>
    </w:p>
    <w:p>
      <w:r>
        <w:rPr>
          <w:b w:val="0"/>
          <w:i/>
          <w:color w:val="606060"/>
          <w:sz w:val="16"/>
        </w:rPr>
        <w:t>Rev 5.00 - June 2026. This plan is computed from the Azalea Hospice SBA Loan Package operating model, the single source of truth for all financial figures. Confidential - do not distribute without written consent.</w:t>
      </w:r>
    </w:p>
    <w:p>
      <w:r>
        <w:rPr>
          <w:b w:val="0"/>
          <w:i w:val="0"/>
          <w:sz w:val="21"/>
        </w:rPr>
      </w:r>
    </w:p>
    <w:p>
      <w:r>
        <w:rPr>
          <w:b w:val="0"/>
          <w:i/>
          <w:color w:val="606060"/>
          <w:sz w:val="16"/>
        </w:rPr>
        <w:t>Prepared for the SBA 7(a) loan application of Tyler Hospice Hold LLC (dba Azalea Hospice &amp; Palliative Care).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