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Geoff Schackmann</w:t>
      </w:r>
    </w:p>
    <w:p>
      <w:r>
        <w:rPr>
          <w:b/>
        </w:rPr>
        <w:t xml:space="preserve">Company Title:  </w:t>
      </w:r>
      <w:r>
        <w:t>Managing Member (39.9% via Adeline &amp; Lilah, LLC)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Multi-hospice operator and transaction-led growth leader with operational responsibility for Medicare-certified hospice and palliative-care agencies across multiple states. Sole member of Adeline &amp; Lilah, LLC (AZ), the holding entity through which equity in Tyler Hospice Hold, LLC is held. Leads transaction structuring, financing, capital allocation, and post-close integration.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Multi-state hospice operations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Owner / Operator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Operational responsibility for Medicare-certified hospice and palliative-care agencies across multiple states; change-of-ownership (CHOW) transactions and post-CHOW enrollment oversight; census growth from sub-30 to 100+ ADC under existing Medicare provider numbers; multi-site clinical operations under Texas HCSSA and Oregon hospice licensure; CHAP and Joint Commission accreditation; acquisition due diligence (clinical, financial, regulatory); lender and investor relationships across SBA 7(a), conventional, mezzanine, and convertible-note structures.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