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Hold,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Hold, LLC - WY Certificate of Formation</w:t>
      </w:r>
    </w:p>
    <w:p>
      <w:r>
        <w:rPr>
          <w:b w:val="0"/>
          <w:i w:val="0"/>
          <w:sz w:val="21"/>
        </w:rPr>
        <w:t xml:space="preserve">  - Tyler Hospice Hold, LLC - Operating Agreement (executed, current)</w:t>
      </w:r>
    </w:p>
    <w:p>
      <w:r>
        <w:rPr>
          <w:b w:val="0"/>
          <w:i w:val="0"/>
          <w:sz w:val="21"/>
        </w:rPr>
        <w:t xml:space="preserve">  - Tyler Hospice Hold, LLC - EIN assignment letter (IRS CP-575)</w:t>
      </w:r>
    </w:p>
    <w:p>
      <w:r>
        <w:rPr>
          <w:b w:val="0"/>
          <w:i w:val="0"/>
          <w:sz w:val="21"/>
        </w:rPr>
        <w:t xml:space="preserve">  - Tyler Hospice Hold,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Hold,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(MIPA) - executed (filed)</w:t>
      </w:r>
    </w:p>
    <w:p>
      <w:r>
        <w:rPr>
          <w:b w:val="0"/>
          <w:i w:val="0"/>
          <w:sz w:val="21"/>
        </w:rPr>
        <w:t xml:space="preserve">  - Wire confirmation of the $300,000 seller payoff at close (no retained seller note)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Manager resignations + spousal consents per the MIPA closing deliverables</w:t>
      </w:r>
    </w:p>
    <w:p>
      <w:r>
        <w:rPr>
          <w:b w:val="0"/>
          <w:i w:val="0"/>
          <w:sz w:val="21"/>
        </w:rPr>
        <w:t xml:space="preserve">  - UCC-1 financing statement filing (SBA lender)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$195,000 on deposit in Tyler Hospice Hold,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two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 (Geoff Schackmann)</w:t>
      </w:r>
    </w:p>
    <w:p>
      <w:r>
        <w:rPr>
          <w:b w:val="0"/>
          <w:i w:val="0"/>
          <w:sz w:val="21"/>
        </w:rPr>
        <w:t xml:space="preserve">  - Personal guaranty (SBA Form 148 or lender form)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Spouse acknowledgement / consent - Mary Elizabeth Burcham, signed and dated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$555K (operating account + use-of-proceeds wires)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