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Hold, LLC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/ structure: RESOLVED - the $300K seller price is paid in full at close from SBA proceeds + equity (no retained note). The MIPA's 12 x $25K installment schedule should be settled at closing (prepay/payoff at close); confirm with sellers via Greiner. With no seller note, Year-1 DSCR is ~3.23x.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in structure; confirm payoff mechanics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Hold, LLC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39.9/19.5/13.3x3 with operators' full 13.3% forfeitable until vested - 4.9% time-vested base + 8.4% dual-trigger earn-up,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remaining wire as it lands; final statement showing full $195K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