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Schedule of Business Debts</w:t>
      </w:r>
    </w:p>
    <w:p>
      <w:r>
        <w:rPr>
          <w:b w:val="0"/>
          <w:i w:val="0"/>
          <w:color w:val="606060"/>
          <w:sz w:val="18"/>
        </w:rPr>
        <w:t>Borrower: Tyler Hospice Hold LLC (dba Azalea Hospice &amp; Palliative Care)</w:t>
      </w:r>
    </w:p>
    <w:p>
      <w:r>
        <w:rPr>
          <w:b/>
        </w:rPr>
        <w:t xml:space="preserve">As of:  </w:t>
      </w:r>
      <w:r>
        <w:t>__________ (to provide)  (most recent month-end, not older than 60 days)</w:t>
      </w:r>
    </w:p>
    <w:p>
      <w:r>
        <w:rPr>
          <w:b w:val="0"/>
          <w:i w:val="0"/>
          <w:sz w:val="21"/>
        </w:rPr>
      </w:r>
    </w:p>
    <w:p>
      <w:r>
        <w:rPr>
          <w:b w:val="0"/>
          <w:i/>
          <w:sz w:val="21"/>
        </w:rPr>
        <w:t>Tyler Hospice Hold LLC is a newly formed holding entity (Wyoming, March 18, 2026) and carries no existing business debt prior to this transaction. The Hickory license seller note arises at close and is shown below as proposed closing debt.</w:t>
      </w:r>
    </w:p>
    <w:p>
      <w:r>
        <w:rPr>
          <w:b w:val="0"/>
          <w:i w:val="0"/>
          <w:sz w:val="21"/>
        </w:rPr>
      </w:r>
    </w:p>
    <w:tbl>
      <w:tblPr>
        <w:tblStyle w:val="LightGrid-Accent1"/>
        <w:tblW w:type="auto" w:w="0"/>
        <w:jc w:val="left"/>
        <w:tblLook w:firstColumn="1" w:firstRow="1" w:lastColumn="0" w:lastRow="0" w:noHBand="0" w:noVBand="1" w:val="04A0"/>
      </w:tblPr>
      <w:tblGrid>
        <w:gridCol w:w="1080"/>
        <w:gridCol w:w="1080"/>
        <w:gridCol w:w="1080"/>
        <w:gridCol w:w="1080"/>
        <w:gridCol w:w="1080"/>
        <w:gridCol w:w="1080"/>
        <w:gridCol w:w="1080"/>
        <w:gridCol w:w="1080"/>
      </w:tblGrid>
      <w:tr>
        <w:tc>
          <w:tcPr>
            <w:tcW w:type="dxa" w:w="2160"/>
          </w:tcPr>
          <w:p>
            <w:r/>
            <w:r>
              <w:rPr>
                <w:b/>
                <w:sz w:val="19"/>
              </w:rPr>
              <w:t>Lender</w:t>
            </w:r>
          </w:p>
        </w:tc>
        <w:tc>
          <w:tcPr>
            <w:tcW w:type="dxa" w:w="1008"/>
          </w:tcPr>
          <w:p>
            <w:r/>
            <w:r>
              <w:rPr>
                <w:b/>
                <w:sz w:val="19"/>
              </w:rPr>
              <w:t>Orig. date</w:t>
            </w:r>
          </w:p>
        </w:tc>
        <w:tc>
          <w:tcPr>
            <w:tcW w:type="dxa" w:w="2304"/>
          </w:tcPr>
          <w:p>
            <w:r/>
            <w:r>
              <w:rPr>
                <w:b/>
                <w:sz w:val="19"/>
              </w:rPr>
              <w:t>Purpose</w:t>
            </w:r>
          </w:p>
        </w:tc>
        <w:tc>
          <w:tcPr>
            <w:tcW w:type="dxa" w:w="1296"/>
          </w:tcPr>
          <w:p>
            <w:r/>
            <w:r>
              <w:rPr>
                <w:b/>
                <w:sz w:val="19"/>
              </w:rPr>
              <w:t>Orig. amount</w:t>
            </w:r>
          </w:p>
        </w:tc>
        <w:tc>
          <w:tcPr>
            <w:tcW w:type="dxa" w:w="1296"/>
          </w:tcPr>
          <w:p>
            <w:r/>
            <w:r>
              <w:rPr>
                <w:b/>
                <w:sz w:val="19"/>
              </w:rPr>
              <w:t>Current balance</w:t>
            </w:r>
          </w:p>
        </w:tc>
        <w:tc>
          <w:tcPr>
            <w:tcW w:type="dxa" w:w="720"/>
          </w:tcPr>
          <w:p>
            <w:r/>
            <w:r>
              <w:rPr>
                <w:b/>
                <w:sz w:val="19"/>
              </w:rPr>
              <w:t>Rate</w:t>
            </w:r>
          </w:p>
        </w:tc>
        <w:tc>
          <w:tcPr>
            <w:tcW w:type="dxa" w:w="1440"/>
          </w:tcPr>
          <w:p>
            <w:r/>
            <w:r>
              <w:rPr>
                <w:b/>
                <w:sz w:val="19"/>
              </w:rPr>
              <w:t>Payment</w:t>
            </w:r>
          </w:p>
        </w:tc>
        <w:tc>
          <w:tcPr>
            <w:tcW w:type="dxa" w:w="2016"/>
          </w:tcPr>
          <w:p>
            <w:r/>
            <w:r>
              <w:rPr>
                <w:b/>
                <w:sz w:val="19"/>
              </w:rPr>
              <w:t>Collateral</w:t>
            </w:r>
          </w:p>
        </w:tc>
      </w:tr>
      <w:tr>
        <w:tc>
          <w:tcPr>
            <w:tcW w:type="dxa" w:w="2160"/>
          </w:tcPr>
          <w:p>
            <w:r/>
            <w:r>
              <w:rPr>
                <w:sz w:val="19"/>
              </w:rPr>
              <w:t>Seller (Hickory CHOW) - PROPOSED at close</w:t>
            </w:r>
          </w:p>
        </w:tc>
        <w:tc>
          <w:tcPr>
            <w:tcW w:type="dxa" w:w="1008"/>
          </w:tcPr>
          <w:p>
            <w:r/>
            <w:r>
              <w:rPr>
                <w:sz w:val="19"/>
              </w:rPr>
              <w:t>At close</w:t>
            </w:r>
          </w:p>
        </w:tc>
        <w:tc>
          <w:tcPr>
            <w:tcW w:type="dxa" w:w="2304"/>
          </w:tcPr>
          <w:p>
            <w:r/>
            <w:r>
              <w:rPr>
                <w:sz w:val="19"/>
              </w:rPr>
              <w:t>Acquire Medicare provider number (CHOW)</w:t>
            </w:r>
          </w:p>
        </w:tc>
        <w:tc>
          <w:tcPr>
            <w:tcW w:type="dxa" w:w="1296"/>
          </w:tcPr>
          <w:p>
            <w:r/>
            <w:r>
              <w:rPr>
                <w:sz w:val="19"/>
              </w:rPr>
              <w:t>$300,000</w:t>
            </w:r>
          </w:p>
        </w:tc>
        <w:tc>
          <w:tcPr>
            <w:tcW w:type="dxa" w:w="1296"/>
          </w:tcPr>
          <w:p>
            <w:r/>
            <w:r>
              <w:rPr>
                <w:sz w:val="19"/>
              </w:rPr>
              <w:t>$300,000</w:t>
            </w:r>
          </w:p>
        </w:tc>
        <w:tc>
          <w:tcPr>
            <w:tcW w:type="dxa" w:w="720"/>
          </w:tcPr>
          <w:p>
            <w:r/>
            <w:r>
              <w:rPr>
                <w:sz w:val="19"/>
              </w:rPr>
              <w:t>6.00%</w:t>
            </w:r>
          </w:p>
        </w:tc>
        <w:tc>
          <w:tcPr>
            <w:tcW w:type="dxa" w:w="1440"/>
          </w:tcPr>
          <w:p>
            <w:r/>
            <w:r>
              <w:rPr>
                <w:sz w:val="19"/>
              </w:rPr>
              <w:t>$9,126.58/mo (36 mo)</w:t>
            </w:r>
          </w:p>
        </w:tc>
        <w:tc>
          <w:tcPr>
            <w:tcW w:type="dxa" w:w="2016"/>
          </w:tcPr>
          <w:p>
            <w:r/>
            <w:r>
              <w:rPr>
                <w:sz w:val="19"/>
              </w:rPr>
              <w:t>Membership interests / provider number</w:t>
            </w:r>
          </w:p>
        </w:tc>
      </w:tr>
      <w:tr>
        <w:tc>
          <w:tcPr>
            <w:tcW w:type="dxa" w:w="2160"/>
          </w:tcPr>
          <w:p>
            <w:r/>
            <w:r>
              <w:rPr>
                <w:sz w:val="19"/>
              </w:rPr>
              <w:t>(No other existing business debt)</w:t>
            </w:r>
          </w:p>
        </w:tc>
        <w:tc>
          <w:tcPr>
            <w:tcW w:type="dxa" w:w="1008"/>
          </w:tcPr>
          <w:p>
            <w:r/>
            <w:r>
              <w:rPr>
                <w:sz w:val="19"/>
              </w:rPr>
              <w:t>-</w:t>
            </w:r>
          </w:p>
        </w:tc>
        <w:tc>
          <w:tcPr>
            <w:tcW w:type="dxa" w:w="2304"/>
          </w:tcPr>
          <w:p>
            <w:r/>
            <w:r>
              <w:rPr>
                <w:sz w:val="19"/>
              </w:rPr>
              <w:t>-</w:t>
            </w:r>
          </w:p>
        </w:tc>
        <w:tc>
          <w:tcPr>
            <w:tcW w:type="dxa" w:w="1296"/>
          </w:tcPr>
          <w:p>
            <w:r/>
            <w:r>
              <w:rPr>
                <w:sz w:val="19"/>
              </w:rPr>
              <w:t>$0</w:t>
            </w:r>
          </w:p>
        </w:tc>
        <w:tc>
          <w:tcPr>
            <w:tcW w:type="dxa" w:w="1296"/>
          </w:tcPr>
          <w:p>
            <w:r/>
            <w:r>
              <w:rPr>
                <w:sz w:val="19"/>
              </w:rPr>
              <w:t>$0</w:t>
            </w:r>
          </w:p>
        </w:tc>
        <w:tc>
          <w:tcPr>
            <w:tcW w:type="dxa" w:w="720"/>
          </w:tcPr>
          <w:p>
            <w:r/>
            <w:r>
              <w:rPr>
                <w:sz w:val="19"/>
              </w:rPr>
              <w:t>-</w:t>
            </w:r>
          </w:p>
        </w:tc>
        <w:tc>
          <w:tcPr>
            <w:tcW w:type="dxa" w:w="1440"/>
          </w:tcPr>
          <w:p>
            <w:r/>
            <w:r>
              <w:rPr>
                <w:sz w:val="19"/>
              </w:rPr>
              <w:t>$0</w:t>
            </w:r>
          </w:p>
        </w:tc>
        <w:tc>
          <w:tcPr>
            <w:tcW w:type="dxa" w:w="2016"/>
          </w:tcPr>
          <w:p>
            <w:r/>
            <w:r>
              <w:rPr>
                <w:sz w:val="19"/>
              </w:rPr>
              <w:t>-</w:t>
            </w:r>
          </w:p>
        </w:tc>
      </w:tr>
    </w:tbl>
    <w:p>
      <w:r>
        <w:rPr>
          <w:b w:val="0"/>
          <w:i w:val="0"/>
          <w:sz w:val="21"/>
        </w:rPr>
      </w:r>
    </w:p>
    <w:p>
      <w:r>
        <w:rPr>
          <w:b/>
          <w:color w:val="1F3864"/>
          <w:sz w:val="23"/>
        </w:rPr>
        <w:t>Government Financing</w:t>
      </w:r>
    </w:p>
    <w:p>
      <w:r>
        <w:rPr>
          <w:b w:val="0"/>
          <w:i/>
          <w:sz w:val="21"/>
        </w:rPr>
        <w:t>Tyler Hospice Hold LLC, its owners, and affiliated companies have no prior or outstanding government financing (no PPP, EIDL, or other federal stimulus or government loans). Confirm for each 20%+ owner and affiliate.</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3600"/>
          </w:tcPr>
          <w:p>
            <w:r/>
            <w:r>
              <w:rPr>
                <w:b/>
                <w:sz w:val="19"/>
              </w:rPr>
              <w:t>Government agency</w:t>
            </w:r>
          </w:p>
        </w:tc>
        <w:tc>
          <w:tcPr>
            <w:tcW w:type="dxa" w:w="1728"/>
          </w:tcPr>
          <w:p>
            <w:r/>
            <w:r>
              <w:rPr>
                <w:b/>
                <w:sz w:val="19"/>
              </w:rPr>
              <w:t>Orig. amount</w:t>
            </w:r>
          </w:p>
        </w:tc>
        <w:tc>
          <w:tcPr>
            <w:tcW w:type="dxa" w:w="1728"/>
          </w:tcPr>
          <w:p>
            <w:r/>
            <w:r>
              <w:rPr>
                <w:b/>
                <w:sz w:val="19"/>
              </w:rPr>
              <w:t>Date of request</w:t>
            </w:r>
          </w:p>
        </w:tc>
        <w:tc>
          <w:tcPr>
            <w:tcW w:type="dxa" w:w="1728"/>
          </w:tcPr>
          <w:p>
            <w:r/>
            <w:r>
              <w:rPr>
                <w:b/>
                <w:sz w:val="19"/>
              </w:rPr>
              <w:t>Current balance</w:t>
            </w:r>
          </w:p>
        </w:tc>
        <w:tc>
          <w:tcPr>
            <w:tcW w:type="dxa" w:w="2016"/>
          </w:tcPr>
          <w:p>
            <w:r/>
            <w:r>
              <w:rPr>
                <w:b/>
                <w:sz w:val="19"/>
              </w:rPr>
              <w:t>Status</w:t>
            </w:r>
          </w:p>
        </w:tc>
      </w:tr>
      <w:tr>
        <w:tc>
          <w:tcPr>
            <w:tcW w:type="dxa" w:w="3600"/>
          </w:tcPr>
          <w:p>
            <w:r/>
            <w:r>
              <w:rPr>
                <w:sz w:val="19"/>
              </w:rPr>
              <w:t>None</w:t>
            </w:r>
          </w:p>
        </w:tc>
        <w:tc>
          <w:tcPr>
            <w:tcW w:type="dxa" w:w="1728"/>
          </w:tcPr>
          <w:p>
            <w:r/>
            <w:r>
              <w:rPr>
                <w:sz w:val="19"/>
              </w:rPr>
              <w:t>-</w:t>
            </w:r>
          </w:p>
        </w:tc>
        <w:tc>
          <w:tcPr>
            <w:tcW w:type="dxa" w:w="1728"/>
          </w:tcPr>
          <w:p>
            <w:r/>
            <w:r>
              <w:rPr>
                <w:sz w:val="19"/>
              </w:rPr>
              <w:t>-</w:t>
            </w:r>
          </w:p>
        </w:tc>
        <w:tc>
          <w:tcPr>
            <w:tcW w:type="dxa" w:w="1728"/>
          </w:tcPr>
          <w:p>
            <w:r/>
            <w:r>
              <w:rPr>
                <w:sz w:val="19"/>
              </w:rPr>
              <w:t>-</w:t>
            </w:r>
          </w:p>
        </w:tc>
        <w:tc>
          <w:tcPr>
            <w:tcW w:type="dxa" w:w="2016"/>
          </w:tcPr>
          <w:p>
            <w:r/>
            <w:r>
              <w:rPr>
                <w:sz w:val="19"/>
              </w:rPr>
              <w:t>-</w:t>
            </w:r>
          </w:p>
        </w:tc>
      </w:tr>
    </w:tbl>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