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DSCR Sensitivity / Stress-Test Analysis</w:t>
      </w:r>
    </w:p>
    <w:p>
      <w:r>
        <w:rPr>
          <w:b w:val="0"/>
          <w:i w:val="0"/>
          <w:color w:val="606060"/>
          <w:sz w:val="18"/>
        </w:rPr>
        <w:t>SBA 7(a) Application - Tyler Hospice Hold, LLC. Illustrative scenarios; underlying model in folder 09.</w:t>
      </w:r>
    </w:p>
    <w:p>
      <w:r>
        <w:rPr>
          <w:b w:val="0"/>
          <w:i w:val="0"/>
          <w:sz w:val="21"/>
        </w:rPr>
      </w:r>
    </w:p>
    <w:p>
      <w:r>
        <w:rPr>
          <w:b w:val="0"/>
          <w:i w:val="0"/>
          <w:sz w:val="21"/>
        </w:rPr>
        <w:t>The base case clears the 1.25x SBA DSCR floor in every year. Debt service is the combined SBA + bank acquisition-loan obligation of ~$169,211/yr in Years 1-3 (SBA $59,692 + the 3-year subordinate bank loan $109,519). Downside coverage is materially tighter in the ramp years than under a single-loan structure because the bank loan is front-loaded on a 3-year amortization; after Year 3 the bank loan is fully amortized and only the SBA loan remains (~$59,692/yr). This memo stress-tests the Year-1 result against the risks a lender will probe: a slower census ramp, a softer reimbursement rate, payroll inflation, and a combined downside.</w:t>
      </w:r>
    </w:p>
    <w:p>
      <w:r>
        <w:rPr>
          <w:b/>
          <w:color w:val="1F3864"/>
          <w:sz w:val="23"/>
        </w:rPr>
        <w:t>Base case (Year 1)</w:t>
      </w:r>
    </w:p>
    <w:tbl>
      <w:tblPr>
        <w:tblStyle w:val="LightGrid-Accent1"/>
        <w:tblW w:type="auto" w:w="0"/>
        <w:jc w:val="left"/>
        <w:tblLook w:firstColumn="1" w:firstRow="1" w:lastColumn="0" w:lastRow="0" w:noHBand="0" w:noVBand="1" w:val="04A0"/>
      </w:tblPr>
      <w:tblGrid>
        <w:gridCol w:w="4320"/>
        <w:gridCol w:w="4320"/>
      </w:tblGrid>
      <w:tr>
        <w:tc>
          <w:tcPr>
            <w:tcW w:type="dxa" w:w="5040"/>
          </w:tcPr>
          <w:p>
            <w:r/>
            <w:r>
              <w:rPr>
                <w:b/>
                <w:sz w:val="19"/>
              </w:rPr>
              <w:t>Line</w:t>
            </w:r>
          </w:p>
        </w:tc>
        <w:tc>
          <w:tcPr>
            <w:tcW w:type="dxa" w:w="2880"/>
          </w:tcPr>
          <w:p>
            <w:r/>
            <w:r>
              <w:rPr>
                <w:b/>
                <w:sz w:val="19"/>
              </w:rPr>
              <w:t>Amount</w:t>
            </w:r>
          </w:p>
        </w:tc>
      </w:tr>
      <w:tr>
        <w:tc>
          <w:tcPr>
            <w:tcW w:type="dxa" w:w="5040"/>
          </w:tcPr>
          <w:p>
            <w:r/>
            <w:r>
              <w:rPr>
                <w:sz w:val="19"/>
              </w:rPr>
              <w:t>Net patient revenue</w:t>
            </w:r>
          </w:p>
        </w:tc>
        <w:tc>
          <w:tcPr>
            <w:tcW w:type="dxa" w:w="2880"/>
          </w:tcPr>
          <w:p>
            <w:r/>
            <w:r>
              <w:rPr>
                <w:sz w:val="19"/>
              </w:rPr>
              <w:t>$1,442,930</w:t>
            </w:r>
          </w:p>
        </w:tc>
      </w:tr>
      <w:tr>
        <w:tc>
          <w:tcPr>
            <w:tcW w:type="dxa" w:w="5040"/>
          </w:tcPr>
          <w:p>
            <w:r/>
            <w:r>
              <w:rPr>
                <w:sz w:val="19"/>
              </w:rPr>
              <w:t>EBITDA</w:t>
            </w:r>
          </w:p>
        </w:tc>
        <w:tc>
          <w:tcPr>
            <w:tcW w:type="dxa" w:w="2880"/>
          </w:tcPr>
          <w:p>
            <w:r/>
            <w:r>
              <w:rPr>
                <w:sz w:val="19"/>
              </w:rPr>
              <w:t>$302,522</w:t>
            </w:r>
          </w:p>
        </w:tc>
      </w:tr>
      <w:tr>
        <w:tc>
          <w:tcPr>
            <w:tcW w:type="dxa" w:w="5040"/>
          </w:tcPr>
          <w:p>
            <w:r/>
            <w:r>
              <w:rPr>
                <w:sz w:val="19"/>
              </w:rPr>
              <w:t>Combined debt service (SBA $59,692 + bank $109,519)</w:t>
            </w:r>
          </w:p>
        </w:tc>
        <w:tc>
          <w:tcPr>
            <w:tcW w:type="dxa" w:w="2880"/>
          </w:tcPr>
          <w:p>
            <w:r/>
            <w:r>
              <w:rPr>
                <w:sz w:val="19"/>
              </w:rPr>
              <w:t>$169,211</w:t>
            </w:r>
          </w:p>
        </w:tc>
      </w:tr>
      <w:tr>
        <w:tc>
          <w:tcPr>
            <w:tcW w:type="dxa" w:w="5040"/>
          </w:tcPr>
          <w:p>
            <w:r/>
            <w:r>
              <w:rPr>
                <w:sz w:val="19"/>
              </w:rPr>
              <w:t>DSCR</w:t>
            </w:r>
          </w:p>
        </w:tc>
        <w:tc>
          <w:tcPr>
            <w:tcW w:type="dxa" w:w="2880"/>
          </w:tcPr>
          <w:p>
            <w:r/>
            <w:r>
              <w:rPr>
                <w:sz w:val="19"/>
              </w:rPr>
              <w:t>1.79x</w:t>
            </w:r>
          </w:p>
        </w:tc>
      </w:tr>
    </w:tbl>
    <w:p>
      <w:r>
        <w:rPr>
          <w:b/>
          <w:color w:val="1F3864"/>
          <w:sz w:val="23"/>
        </w:rPr>
        <w:t>Single-factor stress (Year 1)</w:t>
      </w:r>
    </w:p>
    <w:p>
      <w:r>
        <w:rPr>
          <w:b w:val="0"/>
          <w:i/>
          <w:sz w:val="19"/>
        </w:rPr>
        <w:t>Each scenario isolates one variable; all others held at base. Variable cost flexes proportionally with revenue at the model's contribution ratio (~88.5% contribution margin per patient-day). Debt service is the combined SBA + bank acquisition loan ($169,211/yr; the bank loan is amortizing in all three years).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2016"/>
          </w:tcPr>
          <w:p>
            <w:r/>
            <w:r>
              <w:rPr>
                <w:b/>
                <w:sz w:val="19"/>
              </w:rPr>
              <w:t>Scenario</w:t>
            </w:r>
          </w:p>
        </w:tc>
        <w:tc>
          <w:tcPr>
            <w:tcW w:type="dxa" w:w="2880"/>
          </w:tcPr>
          <w:p>
            <w:r/>
            <w:r>
              <w:rPr>
                <w:b/>
                <w:sz w:val="19"/>
              </w:rPr>
              <w:t>Assumption</w:t>
            </w:r>
          </w:p>
        </w:tc>
        <w:tc>
          <w:tcPr>
            <w:tcW w:type="dxa" w:w="1440"/>
          </w:tcPr>
          <w:p>
            <w:r/>
            <w:r>
              <w:rPr>
                <w:b/>
                <w:sz w:val="19"/>
              </w:rPr>
              <w:t>EBITDA</w:t>
            </w:r>
          </w:p>
        </w:tc>
        <w:tc>
          <w:tcPr>
            <w:tcW w:type="dxa" w:w="1152"/>
          </w:tcPr>
          <w:p>
            <w:r/>
            <w:r>
              <w:rPr>
                <w:b/>
                <w:sz w:val="19"/>
              </w:rPr>
              <w:t>DSCR</w:t>
            </w:r>
          </w:p>
        </w:tc>
        <w:tc>
          <w:tcPr>
            <w:tcW w:type="dxa" w:w="1872"/>
          </w:tcPr>
          <w:p>
            <w:r/>
            <w:r>
              <w:rPr>
                <w:b/>
                <w:sz w:val="19"/>
              </w:rPr>
              <w:t>Clears 1.25x?</w:t>
            </w:r>
          </w:p>
        </w:tc>
      </w:tr>
      <w:tr>
        <w:tc>
          <w:tcPr>
            <w:tcW w:type="dxa" w:w="2016"/>
          </w:tcPr>
          <w:p>
            <w:r/>
            <w:r>
              <w:rPr>
                <w:sz w:val="19"/>
              </w:rPr>
              <w:t>S1 - Census -10%</w:t>
            </w:r>
          </w:p>
        </w:tc>
        <w:tc>
          <w:tcPr>
            <w:tcW w:type="dxa" w:w="2880"/>
          </w:tcPr>
          <w:p>
            <w:r/>
            <w:r>
              <w:rPr>
                <w:sz w:val="19"/>
              </w:rPr>
              <w:t>ADC 19.6 vs. 21.8</w:t>
            </w:r>
          </w:p>
        </w:tc>
        <w:tc>
          <w:tcPr>
            <w:tcW w:type="dxa" w:w="1440"/>
          </w:tcPr>
          <w:p>
            <w:r/>
            <w:r>
              <w:rPr>
                <w:sz w:val="19"/>
              </w:rPr>
              <w:t>$174,823</w:t>
            </w:r>
          </w:p>
        </w:tc>
        <w:tc>
          <w:tcPr>
            <w:tcW w:type="dxa" w:w="1152"/>
          </w:tcPr>
          <w:p>
            <w:r/>
            <w:r>
              <w:rPr>
                <w:sz w:val="19"/>
              </w:rPr>
              <w:t>1.03x</w:t>
            </w:r>
          </w:p>
        </w:tc>
        <w:tc>
          <w:tcPr>
            <w:tcW w:type="dxa" w:w="1872"/>
          </w:tcPr>
          <w:p>
            <w:r/>
            <w:r>
              <w:rPr>
                <w:sz w:val="19"/>
              </w:rPr>
              <w:t>No - shortfall</w:t>
            </w:r>
          </w:p>
        </w:tc>
      </w:tr>
      <w:tr>
        <w:tc>
          <w:tcPr>
            <w:tcW w:type="dxa" w:w="2016"/>
          </w:tcPr>
          <w:p>
            <w:r/>
            <w:r>
              <w:rPr>
                <w:sz w:val="19"/>
              </w:rPr>
              <w:t>S2 - Census -20%</w:t>
            </w:r>
          </w:p>
        </w:tc>
        <w:tc>
          <w:tcPr>
            <w:tcW w:type="dxa" w:w="2880"/>
          </w:tcPr>
          <w:p>
            <w:r/>
            <w:r>
              <w:rPr>
                <w:sz w:val="19"/>
              </w:rPr>
              <w:t>ADC 17.4 vs. 21.8</w:t>
            </w:r>
          </w:p>
        </w:tc>
        <w:tc>
          <w:tcPr>
            <w:tcW w:type="dxa" w:w="1440"/>
          </w:tcPr>
          <w:p>
            <w:r/>
            <w:r>
              <w:rPr>
                <w:sz w:val="19"/>
              </w:rPr>
              <w:t>$47,123</w:t>
            </w:r>
          </w:p>
        </w:tc>
        <w:tc>
          <w:tcPr>
            <w:tcW w:type="dxa" w:w="1152"/>
          </w:tcPr>
          <w:p>
            <w:r/>
            <w:r>
              <w:rPr>
                <w:sz w:val="19"/>
              </w:rPr>
              <w:t>0.28x</w:t>
            </w:r>
          </w:p>
        </w:tc>
        <w:tc>
          <w:tcPr>
            <w:tcW w:type="dxa" w:w="1872"/>
          </w:tcPr>
          <w:p>
            <w:r/>
            <w:r>
              <w:rPr>
                <w:sz w:val="19"/>
              </w:rPr>
              <w:t>No - shortfall</w:t>
            </w:r>
          </w:p>
        </w:tc>
      </w:tr>
      <w:tr>
        <w:tc>
          <w:tcPr>
            <w:tcW w:type="dxa" w:w="2016"/>
          </w:tcPr>
          <w:p>
            <w:r/>
            <w:r>
              <w:rPr>
                <w:sz w:val="19"/>
              </w:rPr>
              <w:t>S3 - Rate -3%</w:t>
            </w:r>
          </w:p>
        </w:tc>
        <w:tc>
          <w:tcPr>
            <w:tcW w:type="dxa" w:w="2880"/>
          </w:tcPr>
          <w:p>
            <w:r/>
            <w:r>
              <w:rPr>
                <w:sz w:val="19"/>
              </w:rPr>
              <w:t>Net rate -3%</w:t>
            </w:r>
          </w:p>
        </w:tc>
        <w:tc>
          <w:tcPr>
            <w:tcW w:type="dxa" w:w="1440"/>
          </w:tcPr>
          <w:p>
            <w:r/>
            <w:r>
              <w:rPr>
                <w:sz w:val="19"/>
              </w:rPr>
              <w:t>$264,212</w:t>
            </w:r>
          </w:p>
        </w:tc>
        <w:tc>
          <w:tcPr>
            <w:tcW w:type="dxa" w:w="1152"/>
          </w:tcPr>
          <w:p>
            <w:r/>
            <w:r>
              <w:rPr>
                <w:sz w:val="19"/>
              </w:rPr>
              <w:t>1.56x</w:t>
            </w:r>
          </w:p>
        </w:tc>
        <w:tc>
          <w:tcPr>
            <w:tcW w:type="dxa" w:w="1872"/>
          </w:tcPr>
          <w:p>
            <w:r/>
            <w:r>
              <w:rPr>
                <w:sz w:val="19"/>
              </w:rPr>
              <w:t>Yes</w:t>
            </w:r>
          </w:p>
        </w:tc>
      </w:tr>
      <w:tr>
        <w:tc>
          <w:tcPr>
            <w:tcW w:type="dxa" w:w="2016"/>
          </w:tcPr>
          <w:p>
            <w:r/>
            <w:r>
              <w:rPr>
                <w:sz w:val="19"/>
              </w:rPr>
              <w:t>S4 - Rate -5%</w:t>
            </w:r>
          </w:p>
        </w:tc>
        <w:tc>
          <w:tcPr>
            <w:tcW w:type="dxa" w:w="2880"/>
          </w:tcPr>
          <w:p>
            <w:r/>
            <w:r>
              <w:rPr>
                <w:sz w:val="19"/>
              </w:rPr>
              <w:t>Net rate -5%</w:t>
            </w:r>
          </w:p>
        </w:tc>
        <w:tc>
          <w:tcPr>
            <w:tcW w:type="dxa" w:w="1440"/>
          </w:tcPr>
          <w:p>
            <w:r/>
            <w:r>
              <w:rPr>
                <w:sz w:val="19"/>
              </w:rPr>
              <w:t>$238,672</w:t>
            </w:r>
          </w:p>
        </w:tc>
        <w:tc>
          <w:tcPr>
            <w:tcW w:type="dxa" w:w="1152"/>
          </w:tcPr>
          <w:p>
            <w:r/>
            <w:r>
              <w:rPr>
                <w:sz w:val="19"/>
              </w:rPr>
              <w:t>1.41x</w:t>
            </w:r>
          </w:p>
        </w:tc>
        <w:tc>
          <w:tcPr>
            <w:tcW w:type="dxa" w:w="1872"/>
          </w:tcPr>
          <w:p>
            <w:r/>
            <w:r>
              <w:rPr>
                <w:sz w:val="19"/>
              </w:rPr>
              <w:t>Yes</w:t>
            </w:r>
          </w:p>
        </w:tc>
      </w:tr>
      <w:tr>
        <w:tc>
          <w:tcPr>
            <w:tcW w:type="dxa" w:w="2016"/>
          </w:tcPr>
          <w:p>
            <w:r/>
            <w:r>
              <w:rPr>
                <w:sz w:val="19"/>
              </w:rPr>
              <w:t>S5 - Payroll +10%</w:t>
            </w:r>
          </w:p>
        </w:tc>
        <w:tc>
          <w:tcPr>
            <w:tcW w:type="dxa" w:w="2880"/>
          </w:tcPr>
          <w:p>
            <w:r/>
            <w:r>
              <w:rPr>
                <w:sz w:val="19"/>
              </w:rPr>
              <w:t>Payroll $955K vs. $868K</w:t>
            </w:r>
          </w:p>
        </w:tc>
        <w:tc>
          <w:tcPr>
            <w:tcW w:type="dxa" w:w="1440"/>
          </w:tcPr>
          <w:p>
            <w:r/>
            <w:r>
              <w:rPr>
                <w:sz w:val="19"/>
              </w:rPr>
              <w:t>$215,705</w:t>
            </w:r>
          </w:p>
        </w:tc>
        <w:tc>
          <w:tcPr>
            <w:tcW w:type="dxa" w:w="1152"/>
          </w:tcPr>
          <w:p>
            <w:r/>
            <w:r>
              <w:rPr>
                <w:sz w:val="19"/>
              </w:rPr>
              <w:t>1.27x</w:t>
            </w:r>
          </w:p>
        </w:tc>
        <w:tc>
          <w:tcPr>
            <w:tcW w:type="dxa" w:w="1872"/>
          </w:tcPr>
          <w:p>
            <w:r/>
            <w:r>
              <w:rPr>
                <w:sz w:val="19"/>
              </w:rPr>
              <w:t>Yes (thin)</w:t>
            </w:r>
          </w:p>
        </w:tc>
      </w:tr>
      <w:tr>
        <w:tc>
          <w:tcPr>
            <w:tcW w:type="dxa" w:w="2016"/>
          </w:tcPr>
          <w:p>
            <w:r/>
            <w:r>
              <w:rPr>
                <w:sz w:val="19"/>
              </w:rPr>
              <w:t>S6 - Payroll +5%</w:t>
            </w:r>
          </w:p>
        </w:tc>
        <w:tc>
          <w:tcPr>
            <w:tcW w:type="dxa" w:w="2880"/>
          </w:tcPr>
          <w:p>
            <w:r/>
            <w:r>
              <w:rPr>
                <w:sz w:val="19"/>
              </w:rPr>
              <w:t>Payroll $911K vs. $868K</w:t>
            </w:r>
          </w:p>
        </w:tc>
        <w:tc>
          <w:tcPr>
            <w:tcW w:type="dxa" w:w="1440"/>
          </w:tcPr>
          <w:p>
            <w:r/>
            <w:r>
              <w:rPr>
                <w:sz w:val="19"/>
              </w:rPr>
              <w:t>$259,113</w:t>
            </w:r>
          </w:p>
        </w:tc>
        <w:tc>
          <w:tcPr>
            <w:tcW w:type="dxa" w:w="1152"/>
          </w:tcPr>
          <w:p>
            <w:r/>
            <w:r>
              <w:rPr>
                <w:sz w:val="19"/>
              </w:rPr>
              <w:t>1.53x</w:t>
            </w:r>
          </w:p>
        </w:tc>
        <w:tc>
          <w:tcPr>
            <w:tcW w:type="dxa" w:w="1872"/>
          </w:tcPr>
          <w:p>
            <w:r/>
            <w:r>
              <w:rPr>
                <w:sz w:val="19"/>
              </w:rPr>
              <w:t>Yes</w:t>
            </w:r>
          </w:p>
        </w:tc>
      </w:tr>
    </w:tbl>
    <w:p>
      <w:r>
        <w:rPr>
          <w:b/>
          <w:color w:val="1F3864"/>
          <w:sz w:val="23"/>
        </w:rPr>
        <w:t>Combined downside (Year 1)</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Scenario</w:t>
            </w:r>
          </w:p>
        </w:tc>
        <w:tc>
          <w:tcPr>
            <w:tcW w:type="dxa" w:w="3744"/>
          </w:tcPr>
          <w:p>
            <w:r/>
            <w:r>
              <w:rPr>
                <w:b/>
                <w:sz w:val="19"/>
              </w:rPr>
              <w:t>Assumption</w:t>
            </w:r>
          </w:p>
        </w:tc>
        <w:tc>
          <w:tcPr>
            <w:tcW w:type="dxa" w:w="1440"/>
          </w:tcPr>
          <w:p>
            <w:r/>
            <w:r>
              <w:rPr>
                <w:b/>
                <w:sz w:val="19"/>
              </w:rPr>
              <w:t>EBITDA</w:t>
            </w:r>
          </w:p>
        </w:tc>
        <w:tc>
          <w:tcPr>
            <w:tcW w:type="dxa" w:w="1152"/>
          </w:tcPr>
          <w:p>
            <w:r/>
            <w:r>
              <w:rPr>
                <w:b/>
                <w:sz w:val="19"/>
              </w:rPr>
              <w:t>DSCR</w:t>
            </w:r>
          </w:p>
        </w:tc>
      </w:tr>
      <w:tr>
        <w:tc>
          <w:tcPr>
            <w:tcW w:type="dxa" w:w="2304"/>
          </w:tcPr>
          <w:p>
            <w:r/>
            <w:r>
              <w:rPr>
                <w:sz w:val="19"/>
              </w:rPr>
              <w:t>C1 - Mild downside</w:t>
            </w:r>
          </w:p>
        </w:tc>
        <w:tc>
          <w:tcPr>
            <w:tcW w:type="dxa" w:w="3744"/>
          </w:tcPr>
          <w:p>
            <w:r/>
            <w:r>
              <w:rPr>
                <w:sz w:val="19"/>
              </w:rPr>
              <w:t>Census -5%, Rate -2%, Payroll +3%</w:t>
            </w:r>
          </w:p>
        </w:tc>
        <w:tc>
          <w:tcPr>
            <w:tcW w:type="dxa" w:w="1440"/>
          </w:tcPr>
          <w:p>
            <w:r/>
            <w:r>
              <w:rPr>
                <w:sz w:val="19"/>
              </w:rPr>
              <w:t>$187,087</w:t>
            </w:r>
          </w:p>
        </w:tc>
        <w:tc>
          <w:tcPr>
            <w:tcW w:type="dxa" w:w="1152"/>
          </w:tcPr>
          <w:p>
            <w:r/>
            <w:r>
              <w:rPr>
                <w:sz w:val="19"/>
              </w:rPr>
              <w:t>1.11x</w:t>
            </w:r>
          </w:p>
        </w:tc>
      </w:tr>
      <w:tr>
        <w:tc>
          <w:tcPr>
            <w:tcW w:type="dxa" w:w="2304"/>
          </w:tcPr>
          <w:p>
            <w:r/>
            <w:r>
              <w:rPr>
                <w:sz w:val="19"/>
              </w:rPr>
              <w:t>C2 - Moderate downside</w:t>
            </w:r>
          </w:p>
        </w:tc>
        <w:tc>
          <w:tcPr>
            <w:tcW w:type="dxa" w:w="3744"/>
          </w:tcPr>
          <w:p>
            <w:r/>
            <w:r>
              <w:rPr>
                <w:sz w:val="19"/>
              </w:rPr>
              <w:t>Census -10%, Rate -3%, Payroll +5%</w:t>
            </w:r>
          </w:p>
        </w:tc>
        <w:tc>
          <w:tcPr>
            <w:tcW w:type="dxa" w:w="1440"/>
          </w:tcPr>
          <w:p>
            <w:r/>
            <w:r>
              <w:rPr>
                <w:sz w:val="19"/>
              </w:rPr>
              <w:t>$93,104</w:t>
            </w:r>
          </w:p>
        </w:tc>
        <w:tc>
          <w:tcPr>
            <w:tcW w:type="dxa" w:w="1152"/>
          </w:tcPr>
          <w:p>
            <w:r/>
            <w:r>
              <w:rPr>
                <w:sz w:val="19"/>
              </w:rPr>
              <w:t>0.55x</w:t>
            </w:r>
          </w:p>
        </w:tc>
      </w:tr>
    </w:tbl>
    <w:p>
      <w:r>
        <w:rPr>
          <w:b/>
          <w:color w:val="1F3864"/>
          <w:sz w:val="23"/>
        </w:rPr>
        <w:t>What the stress tells us</w:t>
      </w:r>
    </w:p>
    <w:p>
      <w:r>
        <w:rPr>
          <w:b w:val="0"/>
          <w:i w:val="0"/>
          <w:sz w:val="21"/>
        </w:rPr>
        <w:t>Year-1 base-case coverage is 1.79x, with the front-loaded 3-year bank acquisition loan absorbing the bulk of debt service during the ramp. A 3% or 5% rate cut still clears (1.56x / 1.41x), and a 5% wage increase clears (1.53x); a 10% wage spike is thin but above the floor (1.27x). Downside coverage is materially tighter in the ramp years because of the bank loan: a ~10% census miss pulls Year-1 DSCR to 1.03x and a ~20% census shortfall pushes it below 1.0x (0.28x), and both combined-downside cases fall below the floor (1.11x and 0.55x). These thresholds ease sharply after Year 3, when the bank loan is fully amortized and only the SBA loan remains. The buffers below are not credited in the static flex:</w:t>
      </w:r>
    </w:p>
    <w:p>
      <w:r>
        <w:rPr>
          <w:b w:val="0"/>
          <w:i w:val="0"/>
          <w:sz w:val="21"/>
        </w:rPr>
        <w:t xml:space="preserve">  - Break-even is ~16 ADC; even the -20% case (ADC ~17.4) is still above operating break-even - the strain is debt-service coverage timing during the 3-year bank-loan window, not viability.</w:t>
      </w:r>
    </w:p>
    <w:p>
      <w:r>
        <w:rPr>
          <w:b w:val="0"/>
          <w:i w:val="0"/>
          <w:sz w:val="21"/>
        </w:rPr>
        <w:t xml:space="preserve">  - The Year-1 roster is partly census-driven: PRN, intake, and capacity RN/CNA headcount flex back if census softens, which the static stress holds flat against revenue.</w:t>
      </w:r>
    </w:p>
    <w:p>
      <w:r>
        <w:rPr>
          <w:b w:val="0"/>
          <w:i w:val="0"/>
          <w:sz w:val="21"/>
        </w:rPr>
        <w:t xml:space="preserve">  - The $567,000 opening working-capital reserve bridges any timing shortfall and keeps minimum cash positive (~$445K base case) with the LOC never drawn, even through the front-loaded bank-loan years.</w:t>
      </w:r>
    </w:p>
    <w:p>
      <w:r>
        <w:rPr>
          <w:b w:val="0"/>
          <w:i w:val="0"/>
          <w:sz w:val="21"/>
        </w:rPr>
        <w:t xml:space="preserve">  - After Year 3 the bank loan retires, dropping annual debt service to ~$59,692 and lifting coverage well above the ramp-year levels.</w:t>
      </w:r>
    </w:p>
    <w:p>
      <w:r>
        <w:rPr>
          <w:b w:val="0"/>
          <w:i w:val="0"/>
          <w:sz w:val="21"/>
        </w:rPr>
        <w:t xml:space="preserve">  - A working-capital line, if the lender bundles one, adds further headroom not reflected in EBITDA.</w:t>
      </w:r>
    </w:p>
    <w:p>
      <w:r>
        <w:rPr>
          <w:b/>
          <w:color w:val="1F3864"/>
          <w:sz w:val="23"/>
        </w:rPr>
        <w:t>Recommendation to the underwriter</w:t>
      </w:r>
    </w:p>
    <w:p>
      <w:r>
        <w:rPr>
          <w:b w:val="0"/>
          <w:i w:val="0"/>
          <w:sz w:val="21"/>
        </w:rPr>
        <w:t>Approve with standard covenants. The deal covers combined debt service at 1.79x in Year 1 and rises to 4.02x and 5.95x as census ramps; the binding stress is a census shortfall during the 3-year bank-loan window, where a ~10-20% miss pulls coverage below 1.0x. This is mitigated by (a) experienced BD leadership with a validated 40+ ADC referral book, (b) opening census ~38% above break-even, (c) the $567,000 reserve that keeps the LOC undrawn and minimum cash ~$445K, and (d) the bank loan's 3-year retirement, after which only the SBA loan remains. A monthly census-and-cash covenant during the ramp years would let the lender monitor the binding variable.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