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$500,000</w:t>
            </w:r>
          </w:p>
        </w:tc>
        <w:tc>
          <w:tcPr>
            <w:tcW w:type="dxa" w:w="1584"/>
          </w:tcPr>
          <w:p>
            <w:r/>
            <w:r>
              <w:rPr>
                <w:sz w:val="19"/>
              </w:rPr>
              <w:t>47.6%</w:t>
            </w:r>
          </w:p>
        </w:tc>
        <w:tc>
          <w:tcPr>
            <w:tcW w:type="dxa" w:w="2592"/>
          </w:tcPr>
          <w:p>
            <w:r/>
            <w:r>
              <w:rPr>
                <w:sz w:val="19"/>
              </w:rPr>
              <w:t>Senior debt</w:t>
            </w:r>
          </w:p>
        </w:tc>
      </w:tr>
      <w:tr>
        <w:tc>
          <w:tcPr>
            <w:tcW w:type="dxa" w:w="4608"/>
          </w:tcPr>
          <w:p>
            <w:r/>
            <w:r>
              <w:rPr>
                <w:sz w:val="19"/>
              </w:rPr>
              <w:t>Equity injection - cash (James Bullard, 19.9% member)</w:t>
            </w:r>
          </w:p>
        </w:tc>
        <w:tc>
          <w:tcPr>
            <w:tcW w:type="dxa" w:w="1584"/>
          </w:tcPr>
          <w:p>
            <w:r/>
            <w:r>
              <w:rPr>
                <w:sz w:val="19"/>
              </w:rPr>
              <w:t>$250,000</w:t>
            </w:r>
          </w:p>
        </w:tc>
        <w:tc>
          <w:tcPr>
            <w:tcW w:type="dxa" w:w="1584"/>
          </w:tcPr>
          <w:p>
            <w:r/>
            <w:r>
              <w:rPr>
                <w:sz w:val="19"/>
              </w:rPr>
              <w:t>23.8%</w:t>
            </w:r>
          </w:p>
        </w:tc>
        <w:tc>
          <w:tcPr>
            <w:tcW w:type="dxa" w:w="2592"/>
          </w:tcPr>
          <w:p>
            <w:r/>
            <w:r>
              <w:rPr>
                <w:sz w:val="19"/>
              </w:rPr>
              <w:t>Qualifying equity injection</w:t>
            </w:r>
          </w:p>
        </w:tc>
      </w:tr>
      <w:tr>
        <w:tc>
          <w:tcPr>
            <w:tcW w:type="dxa" w:w="4608"/>
          </w:tcPr>
          <w:p>
            <w:r/>
            <w:r>
              <w:rPr>
                <w:sz w:val="19"/>
              </w:rPr>
              <w:t>Seller note (Hickory CHOW, 36 mo, 6%)</w:t>
            </w:r>
          </w:p>
        </w:tc>
        <w:tc>
          <w:tcPr>
            <w:tcW w:type="dxa" w:w="1584"/>
          </w:tcPr>
          <w:p>
            <w:r/>
            <w:r>
              <w:rPr>
                <w:sz w:val="19"/>
              </w:rPr>
              <w:t>$300,000</w:t>
            </w:r>
          </w:p>
        </w:tc>
        <w:tc>
          <w:tcPr>
            <w:tcW w:type="dxa" w:w="1584"/>
          </w:tcPr>
          <w:p>
            <w:r/>
            <w:r>
              <w:rPr>
                <w:sz w:val="19"/>
              </w:rPr>
              <w:t>28.6%</w:t>
            </w:r>
          </w:p>
        </w:tc>
        <w:tc>
          <w:tcPr>
            <w:tcW w:type="dxa" w:w="2592"/>
          </w:tcPr>
          <w:p>
            <w:r/>
            <w:r>
              <w:rPr>
                <w:sz w:val="19"/>
              </w:rPr>
              <w:t>Acquisition debt (not on standby; not equity)</w:t>
            </w:r>
          </w:p>
        </w:tc>
      </w:tr>
      <w:tr>
        <w:tc>
          <w:tcPr>
            <w:tcW w:type="dxa" w:w="4608"/>
          </w:tcPr>
          <w:p>
            <w:r/>
            <w:r>
              <w:rPr>
                <w:sz w:val="19"/>
              </w:rPr>
              <w:t>Total project cost</w:t>
            </w:r>
          </w:p>
        </w:tc>
        <w:tc>
          <w:tcPr>
            <w:tcW w:type="dxa" w:w="1584"/>
          </w:tcPr>
          <w:p>
            <w:r/>
            <w:r>
              <w:rPr>
                <w:sz w:val="19"/>
              </w:rPr>
              <w:t>$1,050,000</w:t>
            </w:r>
          </w:p>
        </w:tc>
        <w:tc>
          <w:tcPr>
            <w:tcW w:type="dxa" w:w="1584"/>
          </w:tcPr>
          <w:p>
            <w:r/>
            <w:r>
              <w:rPr>
                <w:sz w:val="19"/>
              </w:rPr>
              <w:t>100%</w:t>
            </w:r>
          </w:p>
        </w:tc>
        <w:tc>
          <w:tcPr>
            <w:tcW w:type="dxa" w:w="2592"/>
          </w:tcPr>
          <w:p>
            <w:r/>
            <w:r>
              <w:rPr>
                <w:sz w:val="19"/>
              </w:rPr>
            </w:r>
          </w:p>
        </w:tc>
      </w:tr>
    </w:tbl>
    <w:p>
      <w:r>
        <w:rPr>
          <w:b/>
          <w:color w:val="1F3864"/>
          <w:sz w:val="23"/>
        </w:rPr>
        <w:t>1. The 10% minimum injection is met more than twice over</w:t>
      </w:r>
    </w:p>
    <w:p>
      <w:r>
        <w:rPr>
          <w:b w:val="0"/>
          <w:i w:val="0"/>
          <w:sz w:val="21"/>
        </w:rPr>
        <w:t>SOP 50 10 8 requires a minimum equity injection of at least 10% of total project cost for a complete change of ownership - here, $105,000. The transaction injects $250,000 of cash equity (23.8% of project cost), comfortably above the floor.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1a. Contribution status and schedule</w:t>
      </w:r>
    </w:p>
    <w:p>
      <w:r>
        <w:rPr>
          <w:b w:val="0"/>
          <w:i w:val="0"/>
          <w:sz w:val="21"/>
        </w:rPr>
        <w:t>The injection is being contributed in tranches to the borrower's Mercury (Column N.A.) operating account ending 1275. As of the date of this memo:</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152"/>
          </w:tcPr>
          <w:p>
            <w:r/>
            <w:r>
              <w:rPr>
                <w:b/>
                <w:sz w:val="19"/>
              </w:rPr>
              <w:t>Tranche</w:t>
            </w:r>
          </w:p>
        </w:tc>
        <w:tc>
          <w:tcPr>
            <w:tcW w:type="dxa" w:w="1728"/>
          </w:tcPr>
          <w:p>
            <w:r/>
            <w:r>
              <w:rPr>
                <w:b/>
                <w:sz w:val="19"/>
              </w:rPr>
              <w:t>Date</w:t>
            </w:r>
          </w:p>
        </w:tc>
        <w:tc>
          <w:tcPr>
            <w:tcW w:type="dxa" w:w="1728"/>
          </w:tcPr>
          <w:p>
            <w:r/>
            <w:r>
              <w:rPr>
                <w:b/>
                <w:sz w:val="19"/>
              </w:rPr>
              <w:t>Amount</w:t>
            </w:r>
          </w:p>
        </w:tc>
        <w:tc>
          <w:tcPr>
            <w:tcW w:type="dxa" w:w="2880"/>
          </w:tcPr>
          <w:p>
            <w:r/>
            <w:r>
              <w:rPr>
                <w:b/>
                <w:sz w:val="19"/>
              </w:rPr>
              <w:t>Method</w:t>
            </w:r>
          </w:p>
        </w:tc>
        <w:tc>
          <w:tcPr>
            <w:tcW w:type="dxa" w:w="2304"/>
          </w:tcPr>
          <w:p>
            <w:r/>
            <w:r>
              <w:rPr>
                <w:b/>
                <w:sz w:val="19"/>
              </w:rPr>
              <w:t>Status</w:t>
            </w:r>
          </w:p>
        </w:tc>
      </w:tr>
      <w:tr>
        <w:tc>
          <w:tcPr>
            <w:tcW w:type="dxa" w:w="1152"/>
          </w:tcPr>
          <w:p>
            <w:r/>
            <w:r>
              <w:rPr>
                <w:sz w:val="19"/>
              </w:rPr>
              <w:t>1 of 3</w:t>
            </w:r>
          </w:p>
        </w:tc>
        <w:tc>
          <w:tcPr>
            <w:tcW w:type="dxa" w:w="1728"/>
          </w:tcPr>
          <w:p>
            <w:r/>
            <w:r>
              <w:rPr>
                <w:sz w:val="19"/>
              </w:rPr>
              <w:t>May 7, 2026</w:t>
            </w:r>
          </w:p>
        </w:tc>
        <w:tc>
          <w:tcPr>
            <w:tcW w:type="dxa" w:w="1728"/>
          </w:tcPr>
          <w:p>
            <w:r/>
            <w:r>
              <w:rPr>
                <w:sz w:val="19"/>
              </w:rPr>
              <w:t>$100,000</w:t>
            </w:r>
          </w:p>
        </w:tc>
        <w:tc>
          <w:tcPr>
            <w:tcW w:type="dxa" w:w="2880"/>
          </w:tcPr>
          <w:p>
            <w:r/>
            <w:r>
              <w:rPr>
                <w:sz w:val="19"/>
              </w:rPr>
              <w:t>Wire from James Bullard</w:t>
            </w:r>
          </w:p>
        </w:tc>
        <w:tc>
          <w:tcPr>
            <w:tcW w:type="dxa" w:w="2304"/>
          </w:tcPr>
          <w:p>
            <w:r/>
            <w:r>
              <w:rPr>
                <w:sz w:val="19"/>
              </w:rPr>
              <w:t>RECEIVED - in account</w:t>
            </w:r>
          </w:p>
        </w:tc>
      </w:tr>
      <w:tr>
        <w:tc>
          <w:tcPr>
            <w:tcW w:type="dxa" w:w="1152"/>
          </w:tcPr>
          <w:p>
            <w:r/>
            <w:r>
              <w:rPr>
                <w:sz w:val="19"/>
              </w:rPr>
              <w:t>2 of 3</w:t>
            </w:r>
          </w:p>
        </w:tc>
        <w:tc>
          <w:tcPr>
            <w:tcW w:type="dxa" w:w="1728"/>
          </w:tcPr>
          <w:p>
            <w:r/>
            <w:r>
              <w:rPr>
                <w:sz w:val="19"/>
              </w:rPr>
              <w:t>June 2026</w:t>
            </w:r>
          </w:p>
        </w:tc>
        <w:tc>
          <w:tcPr>
            <w:tcW w:type="dxa" w:w="1728"/>
          </w:tcPr>
          <w:p>
            <w:r/>
            <w:r>
              <w:rPr>
                <w:sz w:val="19"/>
              </w:rPr>
              <w:t>(scheduled)</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3 of 3</w:t>
            </w:r>
          </w:p>
        </w:tc>
        <w:tc>
          <w:tcPr>
            <w:tcW w:type="dxa" w:w="1728"/>
          </w:tcPr>
          <w:p>
            <w:r/>
            <w:r>
              <w:rPr>
                <w:sz w:val="19"/>
              </w:rPr>
              <w:t>July 2026</w:t>
            </w:r>
          </w:p>
        </w:tc>
        <w:tc>
          <w:tcPr>
            <w:tcW w:type="dxa" w:w="1728"/>
          </w:tcPr>
          <w:p>
            <w:r/>
            <w:r>
              <w:rPr>
                <w:sz w:val="19"/>
              </w:rPr>
              <w:t>(scheduled)</w:t>
            </w:r>
          </w:p>
        </w:tc>
        <w:tc>
          <w:tcPr>
            <w:tcW w:type="dxa" w:w="2880"/>
          </w:tcPr>
          <w:p>
            <w:r/>
            <w:r>
              <w:rPr>
                <w:sz w:val="19"/>
              </w:rPr>
              <w:t>Wire from James Bullard</w:t>
            </w:r>
          </w:p>
        </w:tc>
        <w:tc>
          <w:tcPr>
            <w:tcW w:type="dxa" w:w="2304"/>
          </w:tcPr>
          <w:p>
            <w:r/>
            <w:r>
              <w:rPr>
                <w:sz w:val="19"/>
              </w:rPr>
              <w:t>Committed</w:t>
            </w:r>
          </w:p>
        </w:tc>
      </w:tr>
      <w:tr>
        <w:tc>
          <w:tcPr>
            <w:tcW w:type="dxa" w:w="1152"/>
          </w:tcPr>
          <w:p>
            <w:r/>
            <w:r>
              <w:rPr>
                <w:sz w:val="19"/>
              </w:rPr>
              <w:t>Total</w:t>
            </w:r>
          </w:p>
        </w:tc>
        <w:tc>
          <w:tcPr>
            <w:tcW w:type="dxa" w:w="1728"/>
          </w:tcPr>
          <w:p>
            <w:r/>
            <w:r>
              <w:rPr>
                <w:sz w:val="19"/>
              </w:rPr>
            </w:r>
          </w:p>
        </w:tc>
        <w:tc>
          <w:tcPr>
            <w:tcW w:type="dxa" w:w="1728"/>
          </w:tcPr>
          <w:p>
            <w:r/>
            <w:r>
              <w:rPr>
                <w:sz w:val="19"/>
              </w:rPr>
              <w:t>$250,000</w:t>
            </w:r>
          </w:p>
        </w:tc>
        <w:tc>
          <w:tcPr>
            <w:tcW w:type="dxa" w:w="2880"/>
          </w:tcPr>
          <w:p>
            <w:r/>
            <w:r>
              <w:rPr>
                <w:sz w:val="19"/>
              </w:rPr>
            </w:r>
          </w:p>
        </w:tc>
        <w:tc>
          <w:tcPr>
            <w:tcW w:type="dxa" w:w="2304"/>
          </w:tcPr>
          <w:p>
            <w:r/>
            <w:r>
              <w:rPr>
                <w:sz w:val="19"/>
              </w:rPr>
            </w:r>
          </w:p>
        </w:tc>
      </w:tr>
    </w:tbl>
    <w:p>
      <w:r>
        <w:rPr>
          <w:b w:val="0"/>
          <w:i/>
          <w:sz w:val="19"/>
        </w:rPr>
        <w:t>Evidence on file: Mercury account balance and transaction record dated June 3, 2026 showing the May 7, 2026 incoming wire of $100,000 from JIM BULLARD with the $100,000 balance still held (only de-minimis Gusto payroll-test ACH activity since). Source-of-funds statements in Mr. Bullard's name covering the 30+ days prior to each wire will be retained for each tranche per SOP 50 10 8.</w:t>
      </w:r>
    </w:p>
    <w:p>
      <w:r>
        <w:rPr>
          <w:b w:val="0"/>
          <w:i/>
          <w:sz w:val="19"/>
        </w:rPr>
        <w:t>Closing timing: SBA closing and disbursement are scheduled to occur AFTER the July 2026 equity tranche lands, so the full $250,000 will be on deposit at the time of SBA loan disbursement, in compliance with SOP 50 10 8. No disbursement holdback is required, and no acceleration of tranches 2 and 3 is sought.</w:t>
      </w:r>
    </w:p>
    <w:p>
      <w:r>
        <w:rPr>
          <w:b/>
          <w:color w:val="1F3864"/>
          <w:sz w:val="23"/>
        </w:rPr>
        <w:t>2. The seller note does not need to - and does not - count as equity</w:t>
      </w:r>
    </w:p>
    <w:p>
      <w:r>
        <w:rPr>
          <w:b w:val="0"/>
          <w:i w:val="0"/>
          <w:sz w:val="21"/>
        </w:rPr>
        <w:t>Under SOP 50 10 8, seller debt counts toward the injection only if it is on full standby (no principal or interest) for the life of the SBA loan, and even then for no more than 50% of the required injection. The $300,000 Hickory seller note is amortizing (36 months at 6%) and is therefore treated as acquisition debt serviced within combined debt service - not as part of the equity injection. Because the cash injection alone clears the 10% requirement by a wide margin, no standby of the seller note is required.</w:t>
      </w:r>
    </w:p>
    <w:p>
      <w:r>
        <w:rPr>
          <w:b/>
          <w:color w:val="1F3864"/>
          <w:sz w:val="23"/>
        </w:rPr>
        <w:t>3. The investor's equity qualifies without a personal guaranty</w:t>
      </w:r>
    </w:p>
    <w:p>
      <w:r>
        <w:rPr>
          <w:b w:val="0"/>
          <w:i w:val="0"/>
          <w:sz w:val="21"/>
        </w:rPr>
        <w:t>The $250,000 is contributed by James Bullard as a capital contribution in exchange for a direct, fully funded 19.9%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 / interest holder</w:t>
            </w:r>
          </w:p>
        </w:tc>
        <w:tc>
          <w:tcPr>
            <w:tcW w:type="dxa" w:w="2304"/>
          </w:tcPr>
          <w:p>
            <w:r/>
            <w:r>
              <w:rPr>
                <w:b/>
                <w:sz w:val="19"/>
              </w:rPr>
              <w:t>Interest</w:t>
            </w:r>
          </w:p>
        </w:tc>
        <w:tc>
          <w:tcPr>
            <w:tcW w:type="dxa" w:w="1152"/>
          </w:tcPr>
          <w:p>
            <w:r/>
            <w:r>
              <w:rPr>
                <w:b/>
                <w:sz w:val="19"/>
              </w:rPr>
              <w:t>20%+?</w:t>
            </w:r>
          </w:p>
        </w:tc>
        <w:tc>
          <w:tcPr>
            <w:tcW w:type="dxa" w:w="2880"/>
          </w:tcPr>
          <w:p>
            <w:r/>
            <w:r>
              <w:rPr>
                <w:b/>
                <w:sz w:val="19"/>
              </w:rPr>
              <w:t>Personal guaranty / PFS / Form 912</w:t>
            </w:r>
          </w:p>
        </w:tc>
      </w:tr>
      <w:tr>
        <w:tc>
          <w:tcPr>
            <w:tcW w:type="dxa" w:w="4032"/>
          </w:tcPr>
          <w:p>
            <w:r/>
            <w:r>
              <w:rPr>
                <w:sz w:val="19"/>
              </w:rPr>
              <w:t>Adeline &amp; Lilah, LLC (entity holding 39.9%)</w:t>
            </w:r>
          </w:p>
        </w:tc>
        <w:tc>
          <w:tcPr>
            <w:tcW w:type="dxa" w:w="2304"/>
          </w:tcPr>
          <w:p>
            <w:r/>
            <w:r>
              <w:rPr>
                <w:sz w:val="19"/>
              </w:rPr>
              <w:t>39.9% direct</w:t>
            </w:r>
          </w:p>
        </w:tc>
        <w:tc>
          <w:tcPr>
            <w:tcW w:type="dxa" w:w="1152"/>
          </w:tcPr>
          <w:p>
            <w:r/>
            <w:r>
              <w:rPr>
                <w:sz w:val="19"/>
              </w:rPr>
              <w:t>Yes</w:t>
            </w:r>
          </w:p>
        </w:tc>
        <w:tc>
          <w:tcPr>
            <w:tcW w:type="dxa" w:w="2880"/>
          </w:tcPr>
          <w:p>
            <w:r/>
            <w:r>
              <w:rPr>
                <w:sz w:val="19"/>
              </w:rPr>
              <w:t>Entity disclosed</w:t>
            </w:r>
          </w:p>
        </w:tc>
      </w:tr>
      <w:tr>
        <w:tc>
          <w:tcPr>
            <w:tcW w:type="dxa" w:w="4032"/>
          </w:tcPr>
          <w:p>
            <w:r/>
            <w:r>
              <w:rPr>
                <w:sz w:val="19"/>
              </w:rPr>
              <w:t xml:space="preserve">  - Geoff Schackmann (50% of A&amp;L; sole Manager)</w:t>
            </w:r>
          </w:p>
        </w:tc>
        <w:tc>
          <w:tcPr>
            <w:tcW w:type="dxa" w:w="2304"/>
          </w:tcPr>
          <w:p>
            <w:r/>
            <w:r>
              <w:rPr>
                <w:sz w:val="19"/>
              </w:rPr>
              <w:t>19.95% indirect; controls A&amp;L block</w:t>
            </w:r>
          </w:p>
        </w:tc>
        <w:tc>
          <w:tcPr>
            <w:tcW w:type="dxa" w:w="1152"/>
          </w:tcPr>
          <w:p>
            <w:r/>
            <w:r>
              <w:rPr>
                <w:sz w:val="19"/>
              </w:rPr>
              <w:t>Yes (by control)</w:t>
            </w:r>
          </w:p>
        </w:tc>
        <w:tc>
          <w:tcPr>
            <w:tcW w:type="dxa" w:w="2880"/>
          </w:tcPr>
          <w:p>
            <w:r/>
            <w:r>
              <w:rPr>
                <w:sz w:val="19"/>
              </w:rPr>
              <w:t>Required - provided as the sole 20%+ controlling owner</w:t>
            </w:r>
          </w:p>
        </w:tc>
      </w:tr>
      <w:tr>
        <w:tc>
          <w:tcPr>
            <w:tcW w:type="dxa" w:w="4032"/>
          </w:tcPr>
          <w:p>
            <w:r/>
            <w:r>
              <w:rPr>
                <w:sz w:val="19"/>
              </w:rPr>
              <w:t xml:space="preserve">  - Mary Elizabeth Burcham (50% of A&amp;L; passive)</w:t>
            </w:r>
          </w:p>
        </w:tc>
        <w:tc>
          <w:tcPr>
            <w:tcW w:type="dxa" w:w="2304"/>
          </w:tcPr>
          <w:p>
            <w:r/>
            <w:r>
              <w:rPr>
                <w:sz w:val="19"/>
              </w:rPr>
              <w:t>19.95% indirect</w:t>
            </w:r>
          </w:p>
        </w:tc>
        <w:tc>
          <w:tcPr>
            <w:tcW w:type="dxa" w:w="1152"/>
          </w:tcPr>
          <w:p>
            <w:r/>
            <w:r>
              <w:rPr>
                <w:sz w:val="19"/>
              </w:rPr>
              <w:t>No (under 20%; no control)</w:t>
            </w:r>
          </w:p>
        </w:tc>
        <w:tc>
          <w:tcPr>
            <w:tcW w:type="dxa" w:w="2880"/>
          </w:tcPr>
          <w:p>
            <w:r/>
            <w:r>
              <w:rPr>
                <w:sz w:val="19"/>
              </w:rPr>
              <w:t>Not required; signs spouse acknowledgement/consent at close</w:t>
            </w:r>
          </w:p>
        </w:tc>
      </w:tr>
      <w:tr>
        <w:tc>
          <w:tcPr>
            <w:tcW w:type="dxa" w:w="4032"/>
          </w:tcPr>
          <w:p>
            <w:r/>
            <w:r>
              <w:rPr>
                <w:sz w:val="19"/>
              </w:rPr>
              <w:t>James Bullard (passive investor, direct)</w:t>
            </w:r>
          </w:p>
        </w:tc>
        <w:tc>
          <w:tcPr>
            <w:tcW w:type="dxa" w:w="2304"/>
          </w:tcPr>
          <w:p>
            <w:r/>
            <w:r>
              <w:rPr>
                <w:sz w:val="19"/>
              </w:rPr>
              <w:t>19.9%</w:t>
            </w:r>
          </w:p>
        </w:tc>
        <w:tc>
          <w:tcPr>
            <w:tcW w:type="dxa" w:w="1152"/>
          </w:tcPr>
          <w:p>
            <w:r/>
            <w:r>
              <w:rPr>
                <w:sz w:val="19"/>
              </w:rPr>
              <w:t>No</w:t>
            </w:r>
          </w:p>
        </w:tc>
        <w:tc>
          <w:tcPr>
            <w:tcW w:type="dxa" w:w="2880"/>
          </w:tcPr>
          <w:p>
            <w:r/>
            <w:r>
              <w:rPr>
                <w:sz w:val="19"/>
              </w:rPr>
              <w:t>Not required (source-of-funds verification only)</w:t>
            </w:r>
          </w:p>
        </w:tc>
      </w:tr>
      <w:tr>
        <w:tc>
          <w:tcPr>
            <w:tcW w:type="dxa" w:w="4032"/>
          </w:tcPr>
          <w:p>
            <w:r/>
            <w:r>
              <w:rPr>
                <w:sz w:val="19"/>
              </w:rPr>
              <w:t>Silas R. Shelton</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Dana L. Davenport</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r>
        <w:tc>
          <w:tcPr>
            <w:tcW w:type="dxa" w:w="4032"/>
          </w:tcPr>
          <w:p>
            <w:r/>
            <w:r>
              <w:rPr>
                <w:sz w:val="19"/>
              </w:rPr>
              <w:t>Bradley G. Woodard</w:t>
            </w:r>
          </w:p>
        </w:tc>
        <w:tc>
          <w:tcPr>
            <w:tcW w:type="dxa" w:w="2304"/>
          </w:tcPr>
          <w:p>
            <w:r/>
            <w:r>
              <w:rPr>
                <w:sz w:val="19"/>
              </w:rPr>
              <w:t>13.3% (4-yr vest, 1-yr cliff)</w:t>
            </w:r>
          </w:p>
        </w:tc>
        <w:tc>
          <w:tcPr>
            <w:tcW w:type="dxa" w:w="1152"/>
          </w:tcPr>
          <w:p>
            <w:r/>
            <w:r>
              <w:rPr>
                <w:sz w:val="19"/>
              </w:rPr>
              <w:t>No</w:t>
            </w:r>
          </w:p>
        </w:tc>
        <w:tc>
          <w:tcPr>
            <w:tcW w:type="dxa" w:w="2880"/>
          </w:tcPr>
          <w:p>
            <w:r/>
            <w:r>
              <w:rPr>
                <w:sz w:val="19"/>
              </w:rPr>
              <w:t>Not required</w:t>
            </w:r>
          </w:p>
        </w:tc>
      </w:tr>
    </w:tbl>
    <w:p>
      <w:r>
        <w:rPr>
          <w:b w:val="0"/>
          <w:i/>
          <w:sz w:val="18"/>
        </w:rPr>
        <w:t>All equity owners are disclosed regardless of percentage, and all are U.S. citizens or lawful permanent residents (to be verified by the lender per SOP 50 10 8). The controlling owner (Geoff Schackmann, via Adeline &amp; Lilah, LLC) provides the personal guaranty. His spouse, Mary Elizabeth Burcham, signs a spouse acknowledgement/consent rather than a co-guaranty, as her independent indirect interest is under 20% and she holds no management role.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