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Insurance Requirements - SBA 7(a) and Hospice Operations</w:t>
      </w:r>
    </w:p>
    <w:p>
      <w:r>
        <w:rPr>
          <w:b w:val="0"/>
          <w:i w:val="0"/>
          <w:color w:val="606060"/>
          <w:sz w:val="18"/>
        </w:rPr>
        <w:t>Tyler Hospice Hold LLC - Azalea Hospice &amp; Palliative Care</w:t>
      </w:r>
    </w:p>
    <w:p>
      <w:r>
        <w:rPr>
          <w:b w:val="0"/>
          <w:i w:val="0"/>
          <w:sz w:val="21"/>
        </w:rPr>
        <w:t>Coverages typically required by SBA and prudent for a hospice CHOW operating at the scale underwritten. Confirm specifics with the lender at close.</w:t>
      </w:r>
    </w:p>
    <w:p>
      <w:r>
        <w:rPr>
          <w:b/>
          <w:color w:val="1F3864"/>
          <w:sz w:val="23"/>
        </w:rPr>
        <w:t>Required by SBA / lender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Coverage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Typical limits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Purpose / SBA requirement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General Liability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$1M occurrence / $2M aggregate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Standard SBA requirement; covers third-party bodily injury and property damage.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Professional Liability (Hospice)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$1M / $3M typical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Clinical malpractice exposure. SBA expects coverage appropriate to industry.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Property / Hazard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Replacement cost on equipment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Required on any tangible personal property securing the SBA loan.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Workers' Compensation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Statutory (TX is opt-out but coverage recommended)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Standard requirement once payroll commences; Texas allows non-subscription but most lenders prefer carriage.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Business Auto (if applicable)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$1M CSL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Required if any owned/leased vehicles used in patient visits or administration.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Life Insurance on Guarantor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Amount = SBA loan balance, declining or level term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Required by SBA for sole-guarantor deals to protect repayment in the event of death; collaterally assigned to lender.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Cyber / PHI Breach Liability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$1M typical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Strongly recommended given EMR and HIPAA-regulated PHI; not always SBA-required but a hospice agency should carry it.</w:t>
            </w:r>
          </w:p>
        </w:tc>
      </w:tr>
    </w:tbl>
    <w:p>
      <w:r>
        <w:rPr>
          <w:b/>
          <w:color w:val="1F3864"/>
          <w:sz w:val="23"/>
        </w:rPr>
        <w:t>Prudent additional coverages</w:t>
      </w:r>
    </w:p>
    <w:p>
      <w:r>
        <w:rPr>
          <w:b w:val="0"/>
          <w:i w:val="0"/>
          <w:sz w:val="21"/>
        </w:rPr>
        <w:t xml:space="preserve">  - Employment Practices Liability (EPLI) - $1M</w:t>
      </w:r>
    </w:p>
    <w:p>
      <w:r>
        <w:rPr>
          <w:b w:val="0"/>
          <w:i w:val="0"/>
          <w:sz w:val="21"/>
        </w:rPr>
        <w:t xml:space="preserve">  - Directors &amp; Officers / Management Liability - $1M (light coverage for an LLC, but useful given multi-member structure)</w:t>
      </w:r>
    </w:p>
    <w:p>
      <w:r>
        <w:rPr>
          <w:b w:val="0"/>
          <w:i w:val="0"/>
          <w:sz w:val="21"/>
        </w:rPr>
        <w:t xml:space="preserve">  - Crime / Employee Dishonesty - $250K-$500K</w:t>
      </w:r>
    </w:p>
    <w:p>
      <w:r>
        <w:rPr>
          <w:b w:val="0"/>
          <w:i w:val="0"/>
          <w:sz w:val="21"/>
        </w:rPr>
        <w:t xml:space="preserve">  - Excess / Umbrella - $5M (often cheapest way to extend other limits)</w:t>
      </w:r>
    </w:p>
    <w:p>
      <w:r>
        <w:rPr>
          <w:b w:val="0"/>
          <w:i w:val="0"/>
          <w:sz w:val="21"/>
        </w:rPr>
        <w:t xml:space="preserve">  - Hired &amp; Non-Owned Auto - if staff use personal vehicles for patient visits</w:t>
      </w:r>
    </w:p>
    <w:p>
      <w:r>
        <w:rPr>
          <w:b/>
          <w:color w:val="1F3864"/>
          <w:sz w:val="23"/>
        </w:rPr>
        <w:t>Carriers to approach (Texas hospice market)</w:t>
      </w:r>
    </w:p>
    <w:p>
      <w:r>
        <w:rPr>
          <w:b w:val="0"/>
          <w:i w:val="0"/>
          <w:sz w:val="21"/>
        </w:rPr>
        <w:t xml:space="preserve">  - CNA Healthcare - specialty hospice/home-health markets</w:t>
      </w:r>
    </w:p>
    <w:p>
      <w:r>
        <w:rPr>
          <w:b w:val="0"/>
          <w:i w:val="0"/>
          <w:sz w:val="21"/>
        </w:rPr>
        <w:t xml:space="preserve">  - Coverys - clinical malpractice for hospice</w:t>
      </w:r>
    </w:p>
    <w:p>
      <w:r>
        <w:rPr>
          <w:b w:val="0"/>
          <w:i w:val="0"/>
          <w:sz w:val="21"/>
        </w:rPr>
        <w:t xml:space="preserve">  - ProAssurance - hospice and home-health professional</w:t>
      </w:r>
    </w:p>
    <w:p>
      <w:r>
        <w:rPr>
          <w:b w:val="0"/>
          <w:i w:val="0"/>
          <w:sz w:val="21"/>
        </w:rPr>
        <w:t xml:space="preserve">  - Markel - mid-market healthcare</w:t>
      </w:r>
    </w:p>
    <w:p>
      <w:r>
        <w:rPr>
          <w:b w:val="0"/>
          <w:i w:val="0"/>
          <w:sz w:val="21"/>
        </w:rPr>
        <w:t xml:space="preserve">  - Travelers / Hartford / Hiscox - GL/property/cyber packages</w:t>
      </w:r>
    </w:p>
    <w:p>
      <w:r>
        <w:rPr>
          <w:b w:val="0"/>
          <w:i/>
          <w:sz w:val="19"/>
        </w:rPr>
        <w:t>Ask your broker for a comparison of two or three quotes and note the SBA collateral-assignment requirement when getting the life insurance quote (this drives the carrier choice; not all carriers issue collateral assignments quickly).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