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 (startup + working capital)</w:t>
            </w:r>
          </w:p>
        </w:tc>
        <w:tc>
          <w:tcPr>
            <w:tcW w:type="dxa" w:w="1584"/>
          </w:tcPr>
          <w:p>
            <w:r/>
            <w:r>
              <w:rPr>
                <w:sz w:val="19"/>
              </w:rPr>
              <w:t>$450,000</w:t>
            </w:r>
          </w:p>
        </w:tc>
        <w:tc>
          <w:tcPr>
            <w:tcW w:type="dxa" w:w="1584"/>
          </w:tcPr>
          <w:p>
            <w:r/>
            <w:r>
              <w:rPr>
                <w:sz w:val="19"/>
              </w:rPr>
              <w:t>47.6%</w:t>
            </w:r>
          </w:p>
        </w:tc>
        <w:tc>
          <w:tcPr>
            <w:tcW w:type="dxa" w:w="2592"/>
          </w:tcPr>
          <w:p>
            <w:r/>
            <w:r>
              <w:rPr>
                <w:sz w:val="19"/>
              </w:rPr>
              <w:t>Senior debt; 15-yr term, ~10.5%</w:t>
            </w:r>
          </w:p>
        </w:tc>
      </w:tr>
      <w:tr>
        <w:tc>
          <w:tcPr>
            <w:tcW w:type="dxa" w:w="4608"/>
          </w:tcPr>
          <w:p>
            <w:r/>
            <w:r>
              <w:rPr>
                <w:sz w:val="19"/>
              </w:rPr>
              <w:t>Bank acquisition term loan (Hickory purchase)</w:t>
            </w:r>
          </w:p>
        </w:tc>
        <w:tc>
          <w:tcPr>
            <w:tcW w:type="dxa" w:w="1584"/>
          </w:tcPr>
          <w:p>
            <w:r/>
            <w:r>
              <w:rPr>
                <w:sz w:val="19"/>
              </w:rPr>
              <w:t>$300,000</w:t>
            </w:r>
          </w:p>
        </w:tc>
        <w:tc>
          <w:tcPr>
            <w:tcW w:type="dxa" w:w="1584"/>
          </w:tcPr>
          <w:p>
            <w:r/>
            <w:r>
              <w:rPr>
                <w:sz w:val="19"/>
              </w:rPr>
              <w:t>31.7%</w:t>
            </w:r>
          </w:p>
        </w:tc>
        <w:tc>
          <w:tcPr>
            <w:tcW w:type="dxa" w:w="2592"/>
          </w:tcPr>
          <w:p>
            <w:r/>
            <w:r>
              <w:rPr>
                <w:sz w:val="19"/>
              </w:rPr>
              <w:t>6%, 3-yr amort.; J. Bullard PG; subordinate to SBA</w:t>
            </w:r>
          </w:p>
        </w:tc>
      </w:tr>
      <w:tr>
        <w:tc>
          <w:tcPr>
            <w:tcW w:type="dxa" w:w="4608"/>
          </w:tcPr>
          <w:p>
            <w:r/>
            <w:r>
              <w:rPr>
                <w:sz w:val="19"/>
              </w:rPr>
              <w:t>Equity injection - cash (James Bullard, 19.5% member)</w:t>
            </w:r>
          </w:p>
        </w:tc>
        <w:tc>
          <w:tcPr>
            <w:tcW w:type="dxa" w:w="1584"/>
          </w:tcPr>
          <w:p>
            <w:r/>
            <w:r>
              <w:rPr>
                <w:sz w:val="19"/>
              </w:rPr>
              <w:t>$195,000</w:t>
            </w:r>
          </w:p>
        </w:tc>
        <w:tc>
          <w:tcPr>
            <w:tcW w:type="dxa" w:w="1584"/>
          </w:tcPr>
          <w:p>
            <w:r/>
            <w:r>
              <w:rPr>
                <w:sz w:val="19"/>
              </w:rPr>
              <w:t>20.6%</w:t>
            </w:r>
          </w:p>
        </w:tc>
        <w:tc>
          <w:tcPr>
            <w:tcW w:type="dxa" w:w="2592"/>
          </w:tcPr>
          <w:p>
            <w:r/>
            <w:r>
              <w:rPr>
                <w:sz w:val="19"/>
              </w:rPr>
              <w:t>$180,000 SBA equity injection + $15,000 working capital</w:t>
            </w:r>
          </w:p>
        </w:tc>
      </w:tr>
      <w:tr>
        <w:tc>
          <w:tcPr>
            <w:tcW w:type="dxa" w:w="4608"/>
          </w:tcPr>
          <w:p>
            <w:r/>
            <w:r>
              <w:rPr>
                <w:sz w:val="19"/>
              </w:rPr>
              <w:t>Total project cost</w:t>
            </w:r>
          </w:p>
        </w:tc>
        <w:tc>
          <w:tcPr>
            <w:tcW w:type="dxa" w:w="1584"/>
          </w:tcPr>
          <w:p>
            <w:r/>
            <w:r>
              <w:rPr>
                <w:sz w:val="19"/>
              </w:rPr>
              <w:t>$945,000</w:t>
            </w:r>
          </w:p>
        </w:tc>
        <w:tc>
          <w:tcPr>
            <w:tcW w:type="dxa" w:w="1584"/>
          </w:tcPr>
          <w:p>
            <w:r/>
            <w:r>
              <w:rPr>
                <w:sz w:val="19"/>
              </w:rPr>
              <w:t>100%</w:t>
            </w:r>
          </w:p>
        </w:tc>
        <w:tc>
          <w:tcPr>
            <w:tcW w:type="dxa" w:w="2592"/>
          </w:tcPr>
          <w:p>
            <w:r/>
            <w:r>
              <w:rPr>
                <w:sz w:val="19"/>
              </w:rPr>
              <w:t>Dual-debt (SBA + subordinate bank loan)</w:t>
            </w:r>
          </w:p>
        </w:tc>
      </w:tr>
    </w:tbl>
    <w:p>
      <w:r>
        <w:rPr>
          <w:b/>
          <w:color w:val="1F3864"/>
          <w:sz w:val="23"/>
        </w:rPr>
        <w:t>1. The injection clears the 10% minimum</w:t>
      </w:r>
    </w:p>
    <w:p>
      <w:r>
        <w:rPr>
          <w:b w:val="0"/>
          <w:i w:val="0"/>
          <w:sz w:val="21"/>
        </w:rPr>
        <w:t>SOP 50 10 8 requires a minimum equity injection of at least 10% of total project cost for a startup / complete change of ownership. The transaction injects $195,000 of cash equity (20.6% of the $945,000 project), of which $180,000 is designated as the SBA equity injection and $15,000 is additional working capital - comfortably above the 10% floor.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1a. Contribution status and schedule</w:t>
      </w:r>
    </w:p>
    <w:p>
      <w:r>
        <w:rPr>
          <w:b w:val="0"/>
          <w:i w:val="0"/>
          <w:sz w:val="21"/>
        </w:rPr>
        <w:t>The injection is being contributed in tranches to the borrower's Mercury (Column N.A.) operating account ending 1275. As of the date of this memo: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152"/>
          </w:tcPr>
          <w:p>
            <w:r/>
            <w:r>
              <w:rPr>
                <w:b/>
                <w:sz w:val="19"/>
              </w:rPr>
              <w:t>Tranche</w:t>
            </w:r>
          </w:p>
        </w:tc>
        <w:tc>
          <w:tcPr>
            <w:tcW w:type="dxa" w:w="1728"/>
          </w:tcPr>
          <w:p>
            <w:r/>
            <w:r>
              <w:rPr>
                <w:b/>
                <w:sz w:val="19"/>
              </w:rPr>
              <w:t>Date</w:t>
            </w:r>
          </w:p>
        </w:tc>
        <w:tc>
          <w:tcPr>
            <w:tcW w:type="dxa" w:w="1728"/>
          </w:tcPr>
          <w:p>
            <w:r/>
            <w:r>
              <w:rPr>
                <w:b/>
                <w:sz w:val="19"/>
              </w:rPr>
              <w:t>Amount</w:t>
            </w:r>
          </w:p>
        </w:tc>
        <w:tc>
          <w:tcPr>
            <w:tcW w:type="dxa" w:w="2880"/>
          </w:tcPr>
          <w:p>
            <w:r/>
            <w:r>
              <w:rPr>
                <w:b/>
                <w:sz w:val="19"/>
              </w:rPr>
              <w:t>Method</w:t>
            </w:r>
          </w:p>
        </w:tc>
        <w:tc>
          <w:tcPr>
            <w:tcW w:type="dxa" w:w="2304"/>
          </w:tcPr>
          <w:p>
            <w:r/>
            <w:r>
              <w:rPr>
                <w:b/>
                <w:sz w:val="19"/>
              </w:rPr>
              <w:t>Status</w:t>
            </w:r>
          </w:p>
        </w:tc>
      </w:tr>
      <w:tr>
        <w:tc>
          <w:tcPr>
            <w:tcW w:type="dxa" w:w="1152"/>
          </w:tcPr>
          <w:p>
            <w:r/>
            <w:r>
              <w:rPr>
                <w:sz w:val="19"/>
              </w:rPr>
              <w:t>1 of 2</w:t>
            </w:r>
          </w:p>
        </w:tc>
        <w:tc>
          <w:tcPr>
            <w:tcW w:type="dxa" w:w="1728"/>
          </w:tcPr>
          <w:p>
            <w:r/>
            <w:r>
              <w:rPr>
                <w:sz w:val="19"/>
              </w:rPr>
              <w:t>May 7, 2026</w:t>
            </w:r>
          </w:p>
        </w:tc>
        <w:tc>
          <w:tcPr>
            <w:tcW w:type="dxa" w:w="1728"/>
          </w:tcPr>
          <w:p>
            <w:r/>
            <w:r>
              <w:rPr>
                <w:sz w:val="19"/>
              </w:rPr>
              <w:t>$100,000</w:t>
            </w:r>
          </w:p>
        </w:tc>
        <w:tc>
          <w:tcPr>
            <w:tcW w:type="dxa" w:w="2880"/>
          </w:tcPr>
          <w:p>
            <w:r/>
            <w:r>
              <w:rPr>
                <w:sz w:val="19"/>
              </w:rPr>
              <w:t>Wire from James Bullard</w:t>
            </w:r>
          </w:p>
        </w:tc>
        <w:tc>
          <w:tcPr>
            <w:tcW w:type="dxa" w:w="2304"/>
          </w:tcPr>
          <w:p>
            <w:r/>
            <w:r>
              <w:rPr>
                <w:sz w:val="19"/>
              </w:rPr>
              <w:t>RECEIVED - in account</w:t>
            </w:r>
          </w:p>
        </w:tc>
      </w:tr>
      <w:tr>
        <w:tc>
          <w:tcPr>
            <w:tcW w:type="dxa" w:w="1152"/>
          </w:tcPr>
          <w:p>
            <w:r/>
            <w:r>
              <w:rPr>
                <w:sz w:val="19"/>
              </w:rPr>
              <w:t>2 of 2</w:t>
            </w:r>
          </w:p>
        </w:tc>
        <w:tc>
          <w:tcPr>
            <w:tcW w:type="dxa" w:w="1728"/>
          </w:tcPr>
          <w:p>
            <w:r/>
            <w:r>
              <w:rPr>
                <w:sz w:val="19"/>
              </w:rPr>
              <w:t>By July 31, 2026</w:t>
            </w:r>
          </w:p>
        </w:tc>
        <w:tc>
          <w:tcPr>
            <w:tcW w:type="dxa" w:w="1728"/>
          </w:tcPr>
          <w:p>
            <w:r/>
            <w:r>
              <w:rPr>
                <w:sz w:val="19"/>
              </w:rPr>
              <w:t>$95,000</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Total</w:t>
            </w:r>
          </w:p>
        </w:tc>
        <w:tc>
          <w:tcPr>
            <w:tcW w:type="dxa" w:w="1728"/>
          </w:tcPr>
          <w:p>
            <w:r/>
            <w:r>
              <w:rPr>
                <w:sz w:val="19"/>
              </w:rPr>
            </w:r>
          </w:p>
        </w:tc>
        <w:tc>
          <w:tcPr>
            <w:tcW w:type="dxa" w:w="1728"/>
          </w:tcPr>
          <w:p>
            <w:r/>
            <w:r>
              <w:rPr>
                <w:sz w:val="19"/>
              </w:rPr>
              <w:t>$195,000</w:t>
            </w:r>
          </w:p>
        </w:tc>
        <w:tc>
          <w:tcPr>
            <w:tcW w:type="dxa" w:w="2880"/>
          </w:tcPr>
          <w:p>
            <w:r/>
            <w:r>
              <w:rPr>
                <w:sz w:val="19"/>
              </w:rPr>
            </w:r>
          </w:p>
        </w:tc>
        <w:tc>
          <w:tcPr>
            <w:tcW w:type="dxa" w:w="2304"/>
          </w:tcPr>
          <w:p>
            <w:r/>
            <w:r>
              <w:rPr>
                <w:sz w:val="19"/>
              </w:rPr>
            </w:r>
          </w:p>
        </w:tc>
      </w:tr>
    </w:tbl>
    <w:p>
      <w:r>
        <w:rPr>
          <w:b w:val="0"/>
          <w:i/>
          <w:sz w:val="19"/>
        </w:rPr>
        <w:t>Evidence on file: Mercury account balance and transaction record dated June 3, 2026 showing the May 7, 2026 incoming wire of $100,000 from JIM BULLARD with the $100,000 balance still held (only de-minimis Gusto payroll-test ACH activity since). Source-of-funds statements in Mr. Bullard's name covering the 30+ days prior to each wire will be retained for each tranche per SOP 50 10 8.</w:t>
      </w:r>
    </w:p>
    <w:p>
      <w:r>
        <w:rPr>
          <w:b w:val="0"/>
          <w:i/>
          <w:sz w:val="19"/>
        </w:rPr>
        <w:t>Closing timing: SBA closing and disbursement are scheduled to occur AFTER the July 2026 equity tranche lands, so the full $195,000 will be on deposit at the time of SBA loan disbursement, in compliance with SOP 50 10 8. No disbursement holdback is required, and no acceleration of tranches 2 and 3 is sought.</w:t>
      </w:r>
    </w:p>
    <w:p>
      <w:r>
        <w:rPr>
          <w:b/>
          <w:color w:val="1F3864"/>
          <w:sz w:val="23"/>
        </w:rPr>
        <w:t>2. Acquisition financed by a subordinate bank loan (piggyback financing)</w:t>
      </w:r>
    </w:p>
    <w:p>
      <w:r>
        <w:rPr>
          <w:b w:val="0"/>
          <w:i w:val="0"/>
          <w:sz w:val="21"/>
        </w:rPr>
        <w:t>The $300,000 Hickory acquisition is financed by a separate 3-year bank acquisition term loan (6%) from a bank the investor uses, personally guaranteed by James Bullard and subordinate to the SBA 7(a) loan. An intercreditor / subordination agreement and SBA-lender approval are required for this piggyback structure. Combined debt service in Years 1-3 is ~$169,211/yr (SBA $59,692 + bank $109,519), covered at 1.79x in Year 1 and rising to 4.02x and 5.95x (global 3.92x) as census ramps. After Year 3 the bank loan is fully amortized and only the SBA loan remains (~$59,692/yr).</w:t>
      </w:r>
    </w:p>
    <w:p>
      <w:r>
        <w:rPr>
          <w:b/>
          <w:color w:val="1F3864"/>
          <w:sz w:val="23"/>
        </w:rPr>
        <w:t>3. The investor's equity qualifies without an SBA personal guaranty</w:t>
      </w:r>
    </w:p>
    <w:p>
      <w:r>
        <w:rPr>
          <w:b w:val="0"/>
          <w:i w:val="0"/>
          <w:sz w:val="21"/>
        </w:rPr>
        <w:t>The $195,000 is contributed by James Bullard as a capital contribution in exchange for a direct, fully funded 19.5%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Managing Member, Adeline &amp; Lilah, LLC (Geoff Schackmann, 39.9%), who provides the unconditional personal guaranty as the sole 20%+ owner.</w:t>
      </w:r>
    </w:p>
    <w:p>
      <w:r>
        <w:rPr>
          <w:b/>
          <w:color w:val="1F3864"/>
          <w:sz w:val="23"/>
        </w:rPr>
        <w:t>4. Guaranty and disclosure summary</w:t>
      </w:r>
    </w:p>
    <w:p>
      <w:r>
        <w:rPr>
          <w:b w:val="0"/>
          <w:i/>
          <w:sz w:val="19"/>
        </w:rPr>
        <w:t>SBA 7(a) loan guarantors: Geoff Schackmann (personal guaranty, controlling Manager); Adeline &amp; Lilah, LLC (entity guaranty, 39.9% owner of the borrower); and Hickory Hospice LLC (corporate guaranty plus a lien on its assets and receivables, as the operating subsidiary). Bullard does NOT guarantee the SBA loan; he guarantees only the separate bank acquisition loan.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 / interest holder</w:t>
            </w:r>
          </w:p>
        </w:tc>
        <w:tc>
          <w:tcPr>
            <w:tcW w:type="dxa" w:w="2304"/>
          </w:tcPr>
          <w:p>
            <w:r/>
            <w:r>
              <w:rPr>
                <w:b/>
                <w:sz w:val="19"/>
              </w:rPr>
              <w:t>Interest</w:t>
            </w:r>
          </w:p>
        </w:tc>
        <w:tc>
          <w:tcPr>
            <w:tcW w:type="dxa" w:w="1152"/>
          </w:tcPr>
          <w:p>
            <w:r/>
            <w:r>
              <w:rPr>
                <w:b/>
                <w:sz w:val="19"/>
              </w:rPr>
              <w:t>20%+?</w:t>
            </w:r>
          </w:p>
        </w:tc>
        <w:tc>
          <w:tcPr>
            <w:tcW w:type="dxa" w:w="2880"/>
          </w:tcPr>
          <w:p>
            <w:r/>
            <w:r>
              <w:rPr>
                <w:b/>
                <w:sz w:val="19"/>
              </w:rPr>
              <w:t>Guaranty / PFS / Form 912</w:t>
            </w:r>
          </w:p>
        </w:tc>
      </w:tr>
      <w:tr>
        <w:tc>
          <w:tcPr>
            <w:tcW w:type="dxa" w:w="4032"/>
          </w:tcPr>
          <w:p>
            <w:r/>
            <w:r>
              <w:rPr>
                <w:sz w:val="19"/>
              </w:rPr>
              <w:t>Adeline &amp; Lilah, LLC (entity holding 39.9%)</w:t>
            </w:r>
          </w:p>
        </w:tc>
        <w:tc>
          <w:tcPr>
            <w:tcW w:type="dxa" w:w="2304"/>
          </w:tcPr>
          <w:p>
            <w:r/>
            <w:r>
              <w:rPr>
                <w:sz w:val="19"/>
              </w:rPr>
              <w:t>39.9% direct</w:t>
            </w:r>
          </w:p>
        </w:tc>
        <w:tc>
          <w:tcPr>
            <w:tcW w:type="dxa" w:w="1152"/>
          </w:tcPr>
          <w:p>
            <w:r/>
            <w:r>
              <w:rPr>
                <w:sz w:val="19"/>
              </w:rPr>
              <w:t>Yes</w:t>
            </w:r>
          </w:p>
        </w:tc>
        <w:tc>
          <w:tcPr>
            <w:tcW w:type="dxa" w:w="2880"/>
          </w:tcPr>
          <w:p>
            <w:r/>
            <w:r>
              <w:rPr>
                <w:sz w:val="19"/>
              </w:rPr>
              <w:t>Entity guaranty of the SBA loan</w:t>
            </w:r>
          </w:p>
        </w:tc>
      </w:tr>
      <w:tr>
        <w:tc>
          <w:tcPr>
            <w:tcW w:type="dxa" w:w="4032"/>
          </w:tcPr>
          <w:p>
            <w:r/>
            <w:r>
              <w:rPr>
                <w:sz w:val="19"/>
              </w:rPr>
              <w:t xml:space="preserve">  - Geoff Schackmann (50% of A&amp;L; sole Manager)</w:t>
            </w:r>
          </w:p>
        </w:tc>
        <w:tc>
          <w:tcPr>
            <w:tcW w:type="dxa" w:w="2304"/>
          </w:tcPr>
          <w:p>
            <w:r/>
            <w:r>
              <w:rPr>
                <w:sz w:val="19"/>
              </w:rPr>
              <w:t>19.95% indirect; controls A&amp;L block</w:t>
            </w:r>
          </w:p>
        </w:tc>
        <w:tc>
          <w:tcPr>
            <w:tcW w:type="dxa" w:w="1152"/>
          </w:tcPr>
          <w:p>
            <w:r/>
            <w:r>
              <w:rPr>
                <w:sz w:val="19"/>
              </w:rPr>
              <w:t>Yes (by control)</w:t>
            </w:r>
          </w:p>
        </w:tc>
        <w:tc>
          <w:tcPr>
            <w:tcW w:type="dxa" w:w="2880"/>
          </w:tcPr>
          <w:p>
            <w:r/>
            <w:r>
              <w:rPr>
                <w:sz w:val="19"/>
              </w:rPr>
              <w:t>Personal guaranty of the SBA loan - sole 20%+ controlling owner</w:t>
            </w:r>
          </w:p>
        </w:tc>
      </w:tr>
      <w:tr>
        <w:tc>
          <w:tcPr>
            <w:tcW w:type="dxa" w:w="4032"/>
          </w:tcPr>
          <w:p>
            <w:r/>
            <w:r>
              <w:rPr>
                <w:sz w:val="19"/>
              </w:rPr>
              <w:t xml:space="preserve">  - Mary Elizabeth Burcham (50% of A&amp;L; passive)</w:t>
            </w:r>
          </w:p>
        </w:tc>
        <w:tc>
          <w:tcPr>
            <w:tcW w:type="dxa" w:w="2304"/>
          </w:tcPr>
          <w:p>
            <w:r/>
            <w:r>
              <w:rPr>
                <w:sz w:val="19"/>
              </w:rPr>
              <w:t>19.95% indirect</w:t>
            </w:r>
          </w:p>
        </w:tc>
        <w:tc>
          <w:tcPr>
            <w:tcW w:type="dxa" w:w="1152"/>
          </w:tcPr>
          <w:p>
            <w:r/>
            <w:r>
              <w:rPr>
                <w:sz w:val="19"/>
              </w:rPr>
              <w:t>No (under 20%; no control)</w:t>
            </w:r>
          </w:p>
        </w:tc>
        <w:tc>
          <w:tcPr>
            <w:tcW w:type="dxa" w:w="2880"/>
          </w:tcPr>
          <w:p>
            <w:r/>
            <w:r>
              <w:rPr>
                <w:sz w:val="19"/>
              </w:rPr>
              <w:t>Not required; signs spouse acknowledgement/consent at close</w:t>
            </w:r>
          </w:p>
        </w:tc>
      </w:tr>
      <w:tr>
        <w:tc>
          <w:tcPr>
            <w:tcW w:type="dxa" w:w="4032"/>
          </w:tcPr>
          <w:p>
            <w:r/>
            <w:r>
              <w:rPr>
                <w:sz w:val="19"/>
              </w:rPr>
              <w:t>Hickory Hospice LLC (operating subsidiary)</w:t>
            </w:r>
          </w:p>
        </w:tc>
        <w:tc>
          <w:tcPr>
            <w:tcW w:type="dxa" w:w="2304"/>
          </w:tcPr>
          <w:p>
            <w:r/>
            <w:r>
              <w:rPr>
                <w:sz w:val="19"/>
              </w:rPr>
              <w:t>100% owned by borrower</w:t>
            </w:r>
          </w:p>
        </w:tc>
        <w:tc>
          <w:tcPr>
            <w:tcW w:type="dxa" w:w="1152"/>
          </w:tcPr>
          <w:p>
            <w:r/>
            <w:r>
              <w:rPr>
                <w:sz w:val="19"/>
              </w:rPr>
              <w:t>n/a</w:t>
            </w:r>
          </w:p>
        </w:tc>
        <w:tc>
          <w:tcPr>
            <w:tcW w:type="dxa" w:w="2880"/>
          </w:tcPr>
          <w:p>
            <w:r/>
            <w:r>
              <w:rPr>
                <w:sz w:val="19"/>
              </w:rPr>
              <w:t>Corporate guaranty + lien on assets / receivables</w:t>
            </w:r>
          </w:p>
        </w:tc>
      </w:tr>
      <w:tr>
        <w:tc>
          <w:tcPr>
            <w:tcW w:type="dxa" w:w="4032"/>
          </w:tcPr>
          <w:p>
            <w:r/>
            <w:r>
              <w:rPr>
                <w:sz w:val="19"/>
              </w:rPr>
              <w:t>James Bullard (passive investor, direct)</w:t>
            </w:r>
          </w:p>
        </w:tc>
        <w:tc>
          <w:tcPr>
            <w:tcW w:type="dxa" w:w="2304"/>
          </w:tcPr>
          <w:p>
            <w:r/>
            <w:r>
              <w:rPr>
                <w:sz w:val="19"/>
              </w:rPr>
              <w:t>19.5%</w:t>
            </w:r>
          </w:p>
        </w:tc>
        <w:tc>
          <w:tcPr>
            <w:tcW w:type="dxa" w:w="1152"/>
          </w:tcPr>
          <w:p>
            <w:r/>
            <w:r>
              <w:rPr>
                <w:sz w:val="19"/>
              </w:rPr>
              <w:t>No</w:t>
            </w:r>
          </w:p>
        </w:tc>
        <w:tc>
          <w:tcPr>
            <w:tcW w:type="dxa" w:w="2880"/>
          </w:tcPr>
          <w:p>
            <w:r/>
            <w:r>
              <w:rPr>
                <w:sz w:val="19"/>
              </w:rPr>
              <w:t>No SBA guaranty (guarantees only the bank acquisition loan); source-of-funds verification only</w:t>
            </w:r>
          </w:p>
        </w:tc>
      </w:tr>
      <w:tr>
        <w:tc>
          <w:tcPr>
            <w:tcW w:type="dxa" w:w="4032"/>
          </w:tcPr>
          <w:p>
            <w:r/>
            <w:r>
              <w:rPr>
                <w:sz w:val="19"/>
              </w:rPr>
              <w:t>Silas R. Shelton</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Dana L. Davenport</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Bradley G. Woodard</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bl>
    <w:p>
      <w:r>
        <w:rPr>
          <w:b w:val="0"/>
          <w:i/>
          <w:sz w:val="18"/>
        </w:rPr>
        <w:t>All equity owners are disclosed regardless of percentage, and all are U.S. citizens or lawful permanent residents (to be verified by the lender per SOP 50 10 8). The controlling owner (Geoff Schackmann, via Adeline &amp; Lilah, LLC) provides the personal guaranty. His spouse, Mary Elizabeth Burcham, signs a spouse acknowledgement/consent rather than a co-guaranty, as her independent indirect interest is under 20% and she holds no management role.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