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Use of Proceeds</w:t>
      </w:r>
    </w:p>
    <w:p>
      <w:r>
        <w:rPr>
          <w:b w:val="0"/>
          <w:i w:val="0"/>
          <w:color w:val="606060"/>
          <w:sz w:val="18"/>
        </w:rPr>
        <w:t>SBA 7(a) Application - Tyler Hospice Hold, LLC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Total Project Sources and Uses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0"/>
          </w:tcPr>
          <w:p>
            <w:r/>
            <w:r>
              <w:rPr>
                <w:b/>
                <w:sz w:val="19"/>
              </w:rPr>
              <w:t>Use of funds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Funding source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Acquisition of Hickory Hospice LLC (CHOW; 100% membership interests)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Bank acquisition term loan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Startup one-time costs (855A filing, TX licensure, EMR, supply stock, legal, contingency)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$63,000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Equipment / capex (computers, office furniture)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Working-capital reserve (opening cash; funds ramp payroll and combined debt service)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$567,000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SBA + equity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$945,000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Sources of funds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</w:tcPr>
          <w:p>
            <w:r/>
            <w:r>
              <w:rPr>
                <w:b/>
                <w:sz w:val="19"/>
              </w:rPr>
              <w:t>Source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Amount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% of sources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Terms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SBA 7(a) loan (startup + working capital)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$450,000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47.6%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15-yr term, ~10.5% rate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Bank acquisition term loan (funds Hickory purchase)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$300,000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31.7%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6%, 3-yr amortization; guaranteed by J. Bullard; subordinate to SBA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Equity injection - cash (James Bullard)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$195,000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20.6%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$180,000 SBA equity injection + $15,000 additional working capital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9"/>
              </w:rPr>
              <w:t>Total sources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$945,000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100%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Loan Request Reconciliation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/>
            <w:r>
              <w:rPr>
                <w:b/>
                <w:sz w:val="19"/>
              </w:rPr>
              <w:t>Line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Amount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funds required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$945,000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bank acquisition term loan (Hickory purchase)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($300,000)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Less: borrower equity injection (cash capital contribution)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($195,000)</w:t>
            </w:r>
          </w:p>
        </w:tc>
      </w:tr>
      <w:tr>
        <w:tc>
          <w:tcPr>
            <w:tcW w:type="dxa" w:w="6480"/>
          </w:tcPr>
          <w:p>
            <w:r/>
            <w:r>
              <w:rPr>
                <w:sz w:val="19"/>
              </w:rPr>
              <w:t>Total SBA 7(a) loan request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$450,000</w:t>
            </w:r>
          </w:p>
        </w:tc>
      </w:tr>
    </w:tbl>
    <w:p>
      <w:r>
        <w:rPr>
          <w:b w:val="0"/>
          <w:i/>
          <w:sz w:val="19"/>
        </w:rPr>
        <w:t>The $300,000 Hickory acquisition is financed by a separate 3-year bank term loan (6%) from a bank the investor uses, which the investor (James Bullard) personally guarantees and which is subordinate to the SBA loan (an intercreditor / subordination agreement and SBA-lender approval are required - 'piggyback financing'). The $450,000 SBA loan funds startup costs and a $567,000 working-capital reserve. Of the $195,000 cash equity, $180,000 is designated as the SBA equity injection and $15,000 is additional working capital; the equity is 20.6% of the $945,000 project - above the 10% SOP 50 10 8 minimum.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Details on the transaction and use of working capital</w:t>
      </w:r>
    </w:p>
    <w:p>
      <w:r>
        <w:rPr>
          <w:b w:val="0"/>
          <w:i w:val="0"/>
          <w:sz w:val="21"/>
        </w:rPr>
        <w:t>This is a change-of-ownership (CHOW) acquisition of Hickory Hospice LLC, an established, Medicare-certified hospice, structured as a purchase of 100% of its membership interests. The $300,000 purchase of Hickory's membership interests (and its existing Medicare provider number) is financed by a 3-year bank acquisition term loan (6%) from a bank the investor uses, personally guaranteed by James Bullard and subordinate to the SBA loan. The acquired provider number, state license, and CHAP/ACHC accreditation transfer in the CHOW, so the agency is billing-ready from day one.</w:t>
      </w:r>
    </w:p>
    <w:p>
      <w:r>
        <w:rPr>
          <w:b w:val="0"/>
          <w:i w:val="0"/>
          <w:sz w:val="21"/>
        </w:rPr>
        <w:t>The $450,000 SBA loan and the equity injection fund $78,000 of startup costs and equipment plus a $567,000 working-capital reserve. The reserve carries ramp-period payroll and combined debt service while accounts receivable normalize to the ~45-day Medicare cycle. Combined debt service in Years 1-3 is ~$169,211/yr (SBA $59,692 + bank $109,519); after Year 3 the bank loan is fully amortized and only the SBA loan remains (~$59,692/yr), so the reserve stretches further once the front-loaded bank loan retires.</w:t>
      </w:r>
    </w:p>
    <w:p>
      <w:r>
        <w:rPr>
          <w:b w:val="0"/>
          <w:i/>
          <w:sz w:val="19"/>
        </w:rPr>
        <w:t>Source of the borrower's equity injection: $195,000 in cash, provided as a capital contribution by minority member James Bullard (19.5% non-controlling interest) in exchange for his equity interest ($180,000 designated as the SBA equity injection, $15,000 additional working capital). This is a bona fide, non-borrowed equity contribution equal to 20.6% of total project cost - above the 10% minimum required under SOP 50 10 8. The injection is verified by Mr. Bullard's bank / brokerage statements and the capital-contribution wire into the company's account. Bullard remains a passive member holding less than 20% with no management or control rights and no side agreement, so his contribution counts as qualifying equity without triggering a personal guaranty on the SBA loan (consistent with SOP 50 10 8 and 13 CFR 120.160). He guarantees only the separate bank acquisition loan.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How will this loan benefit the company?</w:t>
      </w:r>
    </w:p>
    <w:p>
      <w:r>
        <w:rPr>
          <w:b w:val="0"/>
          <w:i w:val="0"/>
          <w:sz w:val="21"/>
        </w:rPr>
        <w:t>The loan capitalizes the acquisition and relaunch of an established, billing-ready hospice on validated local economics, led by an experienced East-Texas clinical and business-development team with established referral relationships. It funds the working capital required to operate from day one through the receivables-normalization period and to grow census with the team's referral pipeline, producing combined debt-service coverage (SBA + bank acquisition loan) that clears the 1.25x floor in every year - 1.79x in Year 1, rising to 4.02x and 5.95x (global 3.92x) - and strengthens further after Year 3 when the bank loan is fully amortized and only the SBA loan remains.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