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Schedule of Business Debts</w:t>
      </w:r>
    </w:p>
    <w:p>
      <w:r>
        <w:rPr>
          <w:b w:val="0"/>
          <w:i w:val="0"/>
          <w:color w:val="606060"/>
          <w:sz w:val="18"/>
        </w:rPr>
        <w:t>Borrower: Tyler Hospice Hold, LLC (dba Azalea Hospice &amp; Palliative Care)</w:t>
      </w:r>
    </w:p>
    <w:p>
      <w:r>
        <w:rPr>
          <w:b/>
        </w:rPr>
        <w:t xml:space="preserve">As of:  </w:t>
      </w:r>
      <w:r>
        <w:t>__________ (to provide)  (most recent month-end, not older than 60 days)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sz w:val="21"/>
        </w:rPr>
        <w:t>Tyler Hospice Hold, LLC is a newly formed holding entity and carries no existing business debt prior to this transaction. After close, the business carries two debts: the subject SBA 7(a) loan, and a separate bank acquisition term loan that funds the $300,000 Hickory purchase. The bank loan is personally guaranteed by investor James Bullard and is subordinate to the SBA 7(a) loan (intercreditor / subordination agreement and SBA-lender approval required - 'piggyback financing'). It fully amortizes over 3 years, after which only the SBA loan remains.</w:t>
      </w:r>
    </w:p>
    <w:p>
      <w:r>
        <w:rPr>
          <w:b w:val="0"/>
          <w:i w:val="0"/>
          <w:sz w:val="21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Lender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9"/>
              </w:rPr>
              <w:t>Orig. date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Orig. amount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Current balance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9"/>
              </w:rPr>
              <w:t>Rate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Payment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Collateral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SBA 7(a) loan (subject loan)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At close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Startup + working capital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$450,000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$450,000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~10.5%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$4,974/mo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Blanket lien; corporate guaranty of Hickory; PG of Geoff Schackmann; entity guaranty of Adeline &amp; Lilah, LLC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Acquisition term loan - [bank]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At close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Hickory purchase (100% membership interests)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$300,000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$300,000</w:t>
            </w:r>
          </w:p>
        </w:tc>
        <w:tc>
          <w:tcPr>
            <w:tcW w:type="dxa" w:w="720"/>
          </w:tcPr>
          <w:p>
            <w:r/>
            <w:r>
              <w:rPr>
                <w:sz w:val="19"/>
              </w:rPr>
              <w:t>6%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$9,127/mo (36 mo)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Subordinate to SBA; guaranteed by J. Bullard</w:t>
            </w:r>
          </w:p>
        </w:tc>
      </w:tr>
    </w:tbl>
    <w:p>
      <w:r>
        <w:rPr>
          <w:b w:val="0"/>
          <w:i/>
          <w:sz w:val="19"/>
        </w:rPr>
        <w:t>Combined debt service in Years 1-3 is ~$169,211/yr ($14,101/mo): SBA $59,692/yr ($4,974/mo) + bank $109,519/yr ($9,127/mo). After Year 3 the bank loan is fully amortized and only the SBA loan remains (~$59,692/yr).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Government Financing</w:t>
      </w:r>
    </w:p>
    <w:p>
      <w:r>
        <w:rPr>
          <w:b w:val="0"/>
          <w:i/>
          <w:sz w:val="21"/>
        </w:rPr>
        <w:t>Tyler Hospice Hold, LLC, its owners, and affiliated companies have no prior or outstanding government financing (no PPP, EIDL, or other federal stimulus or government loans). Confirm for each 20%+ owner and affiliate.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600"/>
          </w:tcPr>
          <w:p>
            <w:r/>
            <w:r>
              <w:rPr>
                <w:b/>
                <w:sz w:val="19"/>
              </w:rPr>
              <w:t>Government agency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Orig. amount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Date of request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Current balance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None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-</w:t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Hold,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