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$555,000</w:t>
            </w:r>
          </w:p>
        </w:tc>
        <w:tc>
          <w:tcPr>
            <w:tcW w:type="dxa" w:w="1584"/>
          </w:tcPr>
          <w:p>
            <w:r/>
            <w:r>
              <w:rPr>
                <w:sz w:val="19"/>
              </w:rPr>
              <w:t>74.0%</w:t>
            </w:r>
          </w:p>
        </w:tc>
        <w:tc>
          <w:tcPr>
            <w:tcW w:type="dxa" w:w="2592"/>
          </w:tcPr>
          <w:p>
            <w:r/>
            <w:r>
              <w:rPr>
                <w:sz w:val="19"/>
              </w:rPr>
              <w:t>Senior debt (only debt the business carries)</w:t>
            </w:r>
          </w:p>
        </w:tc>
      </w:tr>
      <w:tr>
        <w:tc>
          <w:tcPr>
            <w:tcW w:type="dxa" w:w="4608"/>
          </w:tcPr>
          <w:p>
            <w:r/>
            <w:r>
              <w:rPr>
                <w:sz w:val="19"/>
              </w:rPr>
              <w:t>Equity injection - cash (James Bullard, 19.5% member)</w:t>
            </w:r>
          </w:p>
        </w:tc>
        <w:tc>
          <w:tcPr>
            <w:tcW w:type="dxa" w:w="1584"/>
          </w:tcPr>
          <w:p>
            <w:r/>
            <w:r>
              <w:rPr>
                <w:sz w:val="19"/>
              </w:rPr>
              <w:t>$195,000</w:t>
            </w:r>
          </w:p>
        </w:tc>
        <w:tc>
          <w:tcPr>
            <w:tcW w:type="dxa" w:w="1584"/>
          </w:tcPr>
          <w:p>
            <w:r/>
            <w:r>
              <w:rPr>
                <w:sz w:val="19"/>
              </w:rPr>
              <w:t>26.0%</w:t>
            </w:r>
          </w:p>
        </w:tc>
        <w:tc>
          <w:tcPr>
            <w:tcW w:type="dxa" w:w="2592"/>
          </w:tcPr>
          <w:p>
            <w:r/>
            <w:r>
              <w:rPr>
                <w:sz w:val="19"/>
              </w:rPr>
              <w:t>Qualifying equity injection</w:t>
            </w:r>
          </w:p>
        </w:tc>
      </w:tr>
      <w:tr>
        <w:tc>
          <w:tcPr>
            <w:tcW w:type="dxa" w:w="4608"/>
          </w:tcPr>
          <w:p>
            <w:r/>
            <w:r>
              <w:rPr>
                <w:sz w:val="19"/>
              </w:rPr>
              <w:t>Total project cost</w:t>
            </w:r>
          </w:p>
        </w:tc>
        <w:tc>
          <w:tcPr>
            <w:tcW w:type="dxa" w:w="1584"/>
          </w:tcPr>
          <w:p>
            <w:r/>
            <w:r>
              <w:rPr>
                <w:sz w:val="19"/>
              </w:rPr>
              <w:t>$750,000</w:t>
            </w:r>
          </w:p>
        </w:tc>
        <w:tc>
          <w:tcPr>
            <w:tcW w:type="dxa" w:w="1584"/>
          </w:tcPr>
          <w:p>
            <w:r/>
            <w:r>
              <w:rPr>
                <w:sz w:val="19"/>
              </w:rPr>
              <w:t>100%</w:t>
            </w:r>
          </w:p>
        </w:tc>
        <w:tc>
          <w:tcPr>
            <w:tcW w:type="dxa" w:w="2592"/>
          </w:tcPr>
          <w:p>
            <w:r/>
            <w:r>
              <w:rPr>
                <w:sz w:val="19"/>
              </w:rPr>
              <w:t>Seller paid in full at close (no retained note)</w:t>
            </w:r>
          </w:p>
        </w:tc>
      </w:tr>
    </w:tbl>
    <w:p>
      <w:r>
        <w:rPr>
          <w:b/>
          <w:color w:val="1F3864"/>
          <w:sz w:val="23"/>
        </w:rPr>
        <w:t>1. The injection is 2.6x the 10% minimum</w:t>
      </w:r>
    </w:p>
    <w:p>
      <w:r>
        <w:rPr>
          <w:b w:val="0"/>
          <w:i w:val="0"/>
          <w:sz w:val="21"/>
        </w:rPr>
        <w:t>SOP 50 10 8 requires a minimum equity injection of at least 10% of total project cost for a startup / complete change of ownership - here, $75,000. The transaction injects $195,000 of cash equity (26.0% of project cost), comfortably above the 10% floor, though below the ~30% down some startup a startup.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2</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2</w:t>
            </w:r>
          </w:p>
        </w:tc>
        <w:tc>
          <w:tcPr>
            <w:tcW w:type="dxa" w:w="1728"/>
          </w:tcPr>
          <w:p>
            <w:r/>
            <w:r>
              <w:rPr>
                <w:sz w:val="19"/>
              </w:rPr>
              <w:t>By July 31, 2026</w:t>
            </w:r>
          </w:p>
        </w:tc>
        <w:tc>
          <w:tcPr>
            <w:tcW w:type="dxa" w:w="1728"/>
          </w:tcPr>
          <w:p>
            <w:r/>
            <w:r>
              <w:rPr>
                <w:sz w:val="19"/>
              </w:rPr>
              <w:t>$95,000</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$195,000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$195,000 will be on deposit at the time of SBA loan disbursement, in compliance with SOP 50 10 8. No disbursement holdback is required, and no acceleration of tranches 2 and 3 is sought.</w:t>
      </w:r>
    </w:p>
    <w:p>
      <w:r>
        <w:rPr>
          <w:b/>
          <w:color w:val="1F3864"/>
          <w:sz w:val="23"/>
        </w:rPr>
        <w:t>2. Seller paid in full at close - no retained note</w:t>
      </w:r>
    </w:p>
    <w:p>
      <w:r>
        <w:rPr>
          <w:b w:val="0"/>
          <w:i w:val="0"/>
          <w:sz w:val="21"/>
        </w:rPr>
        <w:t>The $300,000 acquisition price is paid in full at close from SBA proceeds and the equity injection. There is no retained seller note, so the SBA loan is the only debt the business carries and Year-1 debt service is the SBA loan alone (~$93,637/yr). This produces strong coverage from Year 1 (DSCR ~3.23x) rather than the compressed coverage of a dual-debt (SBA + seller note) structure.</w:t>
      </w:r>
    </w:p>
    <w:p>
      <w:r>
        <w:rPr>
          <w:b/>
          <w:color w:val="1F3864"/>
          <w:sz w:val="23"/>
        </w:rPr>
        <w:t>3. The investor's equity qualifies without a personal guaranty</w:t>
      </w:r>
    </w:p>
    <w:p>
      <w:r>
        <w:rPr>
          <w:b w:val="0"/>
          <w:i w:val="0"/>
          <w:sz w:val="21"/>
        </w:rPr>
        <w:t>The $195,000 is contributed by James Bullard as a capital contribution in exchange for a direct, fully funded 19.5%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Personal guaranty / PFS / Form 912</w:t>
            </w:r>
          </w:p>
        </w:tc>
      </w:tr>
      <w:tr>
        <w:tc>
          <w:tcPr>
            <w:tcW w:type="dxa" w:w="4032"/>
          </w:tcPr>
          <w:p>
            <w:r/>
            <w:r>
              <w:rPr>
                <w:sz w:val="19"/>
              </w:rPr>
              <w:t>Adeline &amp; Lilah, LLC (entity holding 39.9%)</w:t>
            </w:r>
          </w:p>
        </w:tc>
        <w:tc>
          <w:tcPr>
            <w:tcW w:type="dxa" w:w="2304"/>
          </w:tcPr>
          <w:p>
            <w:r/>
            <w:r>
              <w:rPr>
                <w:sz w:val="19"/>
              </w:rPr>
              <w:t>39.9% direct</w:t>
            </w:r>
          </w:p>
        </w:tc>
        <w:tc>
          <w:tcPr>
            <w:tcW w:type="dxa" w:w="1152"/>
          </w:tcPr>
          <w:p>
            <w:r/>
            <w:r>
              <w:rPr>
                <w:sz w:val="19"/>
              </w:rPr>
              <w:t>Yes</w:t>
            </w:r>
          </w:p>
        </w:tc>
        <w:tc>
          <w:tcPr>
            <w:tcW w:type="dxa" w:w="2880"/>
          </w:tcPr>
          <w:p>
            <w:r/>
            <w:r>
              <w:rPr>
                <w:sz w:val="19"/>
              </w:rPr>
              <w:t>Entity disclosed</w:t>
            </w:r>
          </w:p>
        </w:tc>
      </w:tr>
      <w:tr>
        <w:tc>
          <w:tcPr>
            <w:tcW w:type="dxa" w:w="4032"/>
          </w:tcPr>
          <w:p>
            <w:r/>
            <w:r>
              <w:rPr>
                <w:sz w:val="19"/>
              </w:rPr>
              <w:t xml:space="preserve">  - Geoff Schackmann (50% of A&amp;L; sole Manager)</w:t>
            </w:r>
          </w:p>
        </w:tc>
        <w:tc>
          <w:tcPr>
            <w:tcW w:type="dxa" w:w="2304"/>
          </w:tcPr>
          <w:p>
            <w:r/>
            <w:r>
              <w:rPr>
                <w:sz w:val="19"/>
              </w:rPr>
              <w:t>19.95% indirect; controls A&amp;L block</w:t>
            </w:r>
          </w:p>
        </w:tc>
        <w:tc>
          <w:tcPr>
            <w:tcW w:type="dxa" w:w="1152"/>
          </w:tcPr>
          <w:p>
            <w:r/>
            <w:r>
              <w:rPr>
                <w:sz w:val="19"/>
              </w:rPr>
              <w:t>Yes (by control)</w:t>
            </w:r>
          </w:p>
        </w:tc>
        <w:tc>
          <w:tcPr>
            <w:tcW w:type="dxa" w:w="2880"/>
          </w:tcPr>
          <w:p>
            <w:r/>
            <w:r>
              <w:rPr>
                <w:sz w:val="19"/>
              </w:rPr>
              <w:t>Required - provided as the sole 20%+ controlling owner</w:t>
            </w:r>
          </w:p>
        </w:tc>
      </w:tr>
      <w:tr>
        <w:tc>
          <w:tcPr>
            <w:tcW w:type="dxa" w:w="4032"/>
          </w:tcPr>
          <w:p>
            <w:r/>
            <w:r>
              <w:rPr>
                <w:sz w:val="19"/>
              </w:rPr>
              <w:t xml:space="preserve">  - Mary Elizabeth Burcham (50% of A&amp;L; passive)</w:t>
            </w:r>
          </w:p>
        </w:tc>
        <w:tc>
          <w:tcPr>
            <w:tcW w:type="dxa" w:w="2304"/>
          </w:tcPr>
          <w:p>
            <w:r/>
            <w:r>
              <w:rPr>
                <w:sz w:val="19"/>
              </w:rPr>
              <w:t>19.95% indirect</w:t>
            </w:r>
          </w:p>
        </w:tc>
        <w:tc>
          <w:tcPr>
            <w:tcW w:type="dxa" w:w="1152"/>
          </w:tcPr>
          <w:p>
            <w:r/>
            <w:r>
              <w:rPr>
                <w:sz w:val="19"/>
              </w:rPr>
              <w:t>No (under 20%; no control)</w:t>
            </w:r>
          </w:p>
        </w:tc>
        <w:tc>
          <w:tcPr>
            <w:tcW w:type="dxa" w:w="2880"/>
          </w:tcPr>
          <w:p>
            <w:r/>
            <w:r>
              <w:rPr>
                <w:sz w:val="19"/>
              </w:rPr>
              <w:t>Not required; signs spouse acknowledgement/consent at close</w:t>
            </w:r>
          </w:p>
        </w:tc>
      </w:tr>
      <w:tr>
        <w:tc>
          <w:tcPr>
            <w:tcW w:type="dxa" w:w="4032"/>
          </w:tcPr>
          <w:p>
            <w:r/>
            <w:r>
              <w:rPr>
                <w:sz w:val="19"/>
              </w:rPr>
              <w:t>James Bullard (passive investor, direct)</w:t>
            </w:r>
          </w:p>
        </w:tc>
        <w:tc>
          <w:tcPr>
            <w:tcW w:type="dxa" w:w="2304"/>
          </w:tcPr>
          <w:p>
            <w:r/>
            <w:r>
              <w:rPr>
                <w:sz w:val="19"/>
              </w:rPr>
              <w:t>19.5%</w:t>
            </w:r>
          </w:p>
        </w:tc>
        <w:tc>
          <w:tcPr>
            <w:tcW w:type="dxa" w:w="1152"/>
          </w:tcPr>
          <w:p>
            <w:r/>
            <w:r>
              <w:rPr>
                <w:sz w:val="19"/>
              </w:rPr>
              <w:t>No</w:t>
            </w:r>
          </w:p>
        </w:tc>
        <w:tc>
          <w:tcPr>
            <w:tcW w:type="dxa" w:w="2880"/>
          </w:tcPr>
          <w:p>
            <w:r/>
            <w:r>
              <w:rPr>
                <w:sz w:val="19"/>
              </w:rPr>
              <w:t>Not required (source-of-funds verification only)</w:t>
            </w:r>
          </w:p>
        </w:tc>
      </w:tr>
      <w:tr>
        <w:tc>
          <w:tcPr>
            <w:tcW w:type="dxa" w:w="4032"/>
          </w:tcPr>
          <w:p>
            <w:r/>
            <w:r>
              <w:rPr>
                <w:sz w:val="19"/>
              </w:rPr>
              <w:t>Silas R. Shelton</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via Adeline &amp; Lilah, LLC) provides the personal guaranty. His spouse, Mary Elizabeth Burcham, signs a spouse acknowledgement/consent rather than a co-guaranty, as her independent indirect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