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HoldCo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Loan request</w:t>
            </w:r>
          </w:p>
        </w:tc>
        <w:tc>
          <w:tcPr>
            <w:tcW w:type="dxa" w:w="1872"/>
          </w:tcPr>
          <w:p>
            <w:r/>
            <w:r>
              <w:rPr>
                <w:sz w:val="19"/>
              </w:rPr>
              <w:t>$555,000</w:t>
            </w:r>
          </w:p>
        </w:tc>
        <w:tc>
          <w:tcPr>
            <w:tcW w:type="dxa" w:w="5184"/>
          </w:tcPr>
          <w:p>
            <w:r/>
            <w:r>
              <w:rPr>
                <w:sz w:val="19"/>
              </w:rPr>
              <w:t>SBA 7(a) - 10-yr term</w:t>
            </w:r>
          </w:p>
        </w:tc>
      </w:tr>
      <w:tr>
        <w:tc>
          <w:tcPr>
            <w:tcW w:type="dxa" w:w="2304"/>
          </w:tcPr>
          <w:p>
            <w:r/>
            <w:r>
              <w:rPr>
                <w:sz w:val="19"/>
              </w:rPr>
              <w:t>Total project</w:t>
            </w:r>
          </w:p>
        </w:tc>
        <w:tc>
          <w:tcPr>
            <w:tcW w:type="dxa" w:w="1872"/>
          </w:tcPr>
          <w:p>
            <w:r/>
            <w:r>
              <w:rPr>
                <w:sz w:val="19"/>
              </w:rPr>
              <w:t>$750K</w:t>
            </w:r>
          </w:p>
        </w:tc>
        <w:tc>
          <w:tcPr>
            <w:tcW w:type="dxa" w:w="5184"/>
          </w:tcPr>
          <w:p>
            <w:r/>
            <w:r>
              <w:rPr>
                <w:sz w:val="19"/>
              </w:rPr>
              <w:t>$555K SBA + $195K equity; seller paid in full at close</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 (SBA-only)</w:t>
            </w:r>
          </w:p>
        </w:tc>
        <w:tc>
          <w:tcPr>
            <w:tcW w:type="dxa" w:w="1872"/>
          </w:tcPr>
          <w:p>
            <w:r/>
            <w:r>
              <w:rPr>
                <w:sz w:val="19"/>
              </w:rPr>
              <w:t>7.08x</w:t>
            </w:r>
          </w:p>
        </w:tc>
        <w:tc>
          <w:tcPr>
            <w:tcW w:type="dxa" w:w="5184"/>
          </w:tcPr>
          <w:p>
            <w:r/>
            <w:r>
              <w:rPr>
                <w:sz w:val="19"/>
              </w:rPr>
              <w:t>3-yr - floor 1.25x</w:t>
            </w:r>
          </w:p>
        </w:tc>
      </w:tr>
      <w:tr>
        <w:tc>
          <w:tcPr>
            <w:tcW w:type="dxa" w:w="2304"/>
          </w:tcPr>
          <w:p>
            <w:r/>
            <w:r>
              <w:rPr>
                <w:sz w:val="19"/>
              </w:rPr>
              <w:t>Equity injection</w:t>
            </w:r>
          </w:p>
        </w:tc>
        <w:tc>
          <w:tcPr>
            <w:tcW w:type="dxa" w:w="1872"/>
          </w:tcPr>
          <w:p>
            <w:r/>
            <w:r>
              <w:rPr>
                <w:sz w:val="19"/>
              </w:rPr>
              <w:t>$195,000</w:t>
            </w:r>
          </w:p>
        </w:tc>
        <w:tc>
          <w:tcPr>
            <w:tcW w:type="dxa" w:w="5184"/>
          </w:tcPr>
          <w:p>
            <w:r/>
            <w:r>
              <w:rPr>
                <w:sz w:val="19"/>
              </w:rPr>
              <w:t>26.0% of project - 2.6x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$555,000 SBA 7(a) loan to acquire and relaunch Hickory Hospice LLC - an established, Medicare-certified hospice - as Azalea Hospice &amp; Palliative Care. The agency's existing Medicare-certified provider number is acquired through a change of ownership (CHOW) for $300,000 paid in full at close from SBA proceeds and the equity injection - no retained seller note - giving Azalea immediate, billing-ready capability with no new-enrollment delay. The loan is paired with a $195,000 cash equity injection, for a total project of $750,000. Because the seller is paid at close, the SBA loan is the only debt the business carries.</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Hickory (paid at close)</w:t>
            </w:r>
          </w:p>
        </w:tc>
        <w:tc>
          <w:tcPr>
            <w:tcW w:type="dxa" w:w="1584"/>
          </w:tcPr>
          <w:p>
            <w:r/>
            <w:r>
              <w:rPr>
                <w:sz w:val="19"/>
              </w:rPr>
              <w:t>$300,000</w:t>
            </w:r>
          </w:p>
        </w:tc>
        <w:tc>
          <w:tcPr>
            <w:tcW w:type="dxa" w:w="4176"/>
          </w:tcPr>
          <w:p>
            <w:r/>
            <w:r>
              <w:rPr>
                <w:sz w:val="19"/>
              </w:rPr>
              <w:t>100% membership interests; provider number / license / accreditation transfer in the CHOW</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$372,000</w:t>
            </w:r>
          </w:p>
        </w:tc>
        <w:tc>
          <w:tcPr>
            <w:tcW w:type="dxa" w:w="4176"/>
          </w:tcPr>
          <w:p>
            <w:r/>
            <w:r>
              <w:rPr>
                <w:sz w:val="19"/>
              </w:rPr>
              <w:t>Funds ramp payroll and SBA debt service; holds the $25K floor</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$555K + Equity $195K</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(Managing Member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$199,308</w:t>
            </w:r>
          </w:p>
        </w:tc>
        <w:tc>
          <w:tcPr>
            <w:tcW w:type="dxa" w:w="2160"/>
          </w:tcPr>
          <w:p>
            <w:r/>
            <w:r>
              <w:rPr>
                <w:sz w:val="19"/>
              </w:rPr>
              <w:t>$574,951</w:t>
            </w:r>
          </w:p>
        </w:tc>
        <w:tc>
          <w:tcPr>
            <w:tcW w:type="dxa" w:w="2160"/>
          </w:tcPr>
          <w:p>
            <w:r/>
            <w:r>
              <w:rPr>
                <w:sz w:val="19"/>
              </w:rPr>
              <w:t>$903,362</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DSCR (SBA-only)</w:t>
            </w:r>
          </w:p>
        </w:tc>
        <w:tc>
          <w:tcPr>
            <w:tcW w:type="dxa" w:w="2160"/>
          </w:tcPr>
          <w:p>
            <w:r/>
            <w:r>
              <w:rPr>
                <w:sz w:val="19"/>
              </w:rPr>
              <w:t>3.23x</w:t>
            </w:r>
          </w:p>
        </w:tc>
        <w:tc>
          <w:tcPr>
            <w:tcW w:type="dxa" w:w="2160"/>
          </w:tcPr>
          <w:p>
            <w:r/>
            <w:r>
              <w:rPr>
                <w:sz w:val="19"/>
              </w:rPr>
              <w:t>7.26x</w:t>
            </w:r>
          </w:p>
        </w:tc>
        <w:tc>
          <w:tcPr>
            <w:tcW w:type="dxa" w:w="2160"/>
          </w:tcPr>
          <w:p>
            <w:r/>
            <w:r>
              <w:rPr>
                <w:sz w:val="19"/>
              </w:rPr>
              <w:t>10.76x</w:t>
            </w:r>
          </w:p>
        </w:tc>
      </w:tr>
    </w:tbl>
    <w:p>
      <w:r>
        <w:rPr>
          <w:b w:val="0"/>
          <w:i w:val="0"/>
          <w:sz w:val="21"/>
        </w:rPr>
        <w:t>The operation is EBITDA-positive from early in the ramp. Because the seller is paid in full at close, the SBA loan is the only debt: against SBA debt service of $93,637/yr, the model clears a global 3-year DSCR of 7.08x - far above the 1.25x floor - and strengthens each year (3.23x -&gt; 7.26x -&gt; 10.76x). The $372,000 opening reserve keeps minimum cash well above the $25,000 floor through the ramp, and with only ~$7,030/mo of debt service the reserve stretches comfortably.</w:t>
      </w:r>
    </w:p>
    <w:p>
      <w:r>
        <w:br w:type="page"/>
      </w:r>
    </w:p>
    <w:p>
      <w:r>
        <w:rPr>
          <w:b/>
          <w:color w:val="1F3864"/>
          <w:sz w:val="30"/>
        </w:rPr>
        <w:t>02 - Company Description</w:t>
      </w:r>
    </w:p>
    <w:p>
      <w:r>
        <w:rPr>
          <w:b/>
          <w:color w:val="1F3864"/>
          <w:sz w:val="23"/>
        </w:rPr>
        <w:t>2.1 Legal structure</w:t>
      </w:r>
    </w:p>
    <w:p>
      <w:r>
        <w:rPr>
          <w:b w:val="0"/>
          <w:i w:val="0"/>
          <w:sz w:val="21"/>
        </w:rPr>
        <w:t>Tyler Hospice HoldCo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is taxed as a partnership for federal income tax purposes.</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Adeline &amp; Lilah, LLC (AZ)</w:t>
            </w:r>
          </w:p>
        </w:tc>
        <w:tc>
          <w:tcPr>
            <w:tcW w:type="dxa" w:w="1296"/>
          </w:tcPr>
          <w:p>
            <w:r/>
            <w:r>
              <w:rPr>
                <w:sz w:val="19"/>
              </w:rPr>
              <w:t>39.9%</w:t>
            </w:r>
          </w:p>
        </w:tc>
        <w:tc>
          <w:tcPr>
            <w:tcW w:type="dxa" w:w="4896"/>
          </w:tcPr>
          <w:p>
            <w:r/>
            <w:r>
              <w:rPr>
                <w:sz w:val="19"/>
              </w:rPr>
              <w:t>Managing Member - owned 50% Geoff Schackmann / 50% Mary Elizabeth Burcham; Geoff serves as Manager and provides the SBA personal guaranty</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milestone-vested</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milestone-vested</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milestone-vested</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$750,000 project is funded by the $555,000 SBA 7(a) loan and a $195,000 cash equity injection contributed by investor James E. Bullard in exchange for a direct 19.5% membership interest. The $300,000 acquisition price is paid in full at close from these sources - there is no retained seller note, so the SBA loan is the only debt the business carries. The injection equals 26.0% of total project cost - 2.6 times the 10% minimum required under SBA SOP 50 10 8, though below the ~30% down some startup lenders prefer. Mr. Bullard's funds are his own savings (non-borrowed), verified by his bank statements; $100,000 was wired on May 7, 2026 and the balance follows on a committed schedule. Because he holds less than 20% and exercises no operational control, no personal guaranty is required of him (13 CFR 120.160). The Managing Member (Geoff Schackmann, via Adeline &amp; Lilah, LLC) is the sole 20%+ owner and provides the SBA personal guaranty.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Capital cushion - $372K opening cash reserve; seller paid at close so the SBA loan is the only debt</w:t>
      </w:r>
    </w:p>
    <w:p>
      <w:r>
        <w:rPr>
          <w:b w:val="0"/>
          <w:i w:val="0"/>
          <w:sz w:val="21"/>
        </w:rPr>
        <w:t xml:space="preserve">  - DSCR rises 3.23x -&gt; 10.76x across the plan; substantial $195K cash equity injection (33% of project)</w:t>
      </w:r>
    </w:p>
    <w:p>
      <w:r>
        <w:rPr>
          <w:b w:val="0"/>
          <w:i w:val="0"/>
          <w:sz w:val="21"/>
        </w:rPr>
        <w:t xml:space="preserve">  - Strong ownership alignment - operators hold equity (13.3% each); experienced multi-hospice Managing Member</w:t>
      </w:r>
    </w:p>
    <w:p>
      <w:r>
        <w:rPr>
          <w:b/>
          <w:color w:val="1F3864"/>
          <w:sz w:val="23"/>
        </w:rPr>
        <w:t>Weaknesses</w:t>
      </w:r>
    </w:p>
    <w:p>
      <w:r>
        <w:rPr>
          <w:b w:val="0"/>
          <w:i w:val="0"/>
          <w:sz w:val="21"/>
        </w:rPr>
        <w:t xml:space="preserve">  - Newco borrower with no operating history of its own (mitigated by the acquired agency's actuals and an experienced operator)</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Managing Member's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Front-loaded ramp costs before census stabilizes; mitigated by the $372K reserve and light single-loan debt service</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Adeline &amp; Lilah, LLC - Geoff Schackmann</w:t>
            </w:r>
          </w:p>
        </w:tc>
        <w:tc>
          <w:tcPr>
            <w:tcW w:type="dxa" w:w="2736"/>
          </w:tcPr>
          <w:p>
            <w:r/>
            <w:r>
              <w:rPr>
                <w:sz w:val="19"/>
              </w:rPr>
              <w:t>Managing Member (holding co.)</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Managing Member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19.5%</w:t>
            </w:r>
          </w:p>
        </w:tc>
        <w:tc>
          <w:tcPr>
            <w:tcW w:type="dxa" w:w="2304"/>
          </w:tcPr>
          <w:p>
            <w:r/>
            <w:r>
              <w:rPr>
                <w:sz w:val="19"/>
              </w:rPr>
              <w:t>No operational role</w:t>
            </w:r>
          </w:p>
        </w:tc>
      </w:tr>
    </w:tbl>
    <w:p>
      <w:r>
        <w:rPr>
          <w:b w:val="0"/>
          <w:i w:val="0"/>
          <w:sz w:val="21"/>
        </w:rPr>
        <w:t>Tyler Hospice HoldCo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Managing Member (Schackmann, via Adeline &amp; Lilah)</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Managing Member concurrence</w:t>
      </w:r>
    </w:p>
    <w:p>
      <w:r>
        <w:rPr>
          <w:b w:val="0"/>
          <w:i w:val="0"/>
          <w:sz w:val="21"/>
        </w:rPr>
        <w:t xml:space="preserve">  - Strategic / capital / acquisition: Managing Member</w:t>
      </w:r>
    </w:p>
    <w:p>
      <w:r>
        <w:rPr>
          <w:b w:val="0"/>
          <w:i w:val="0"/>
          <w:sz w:val="21"/>
        </w:rPr>
        <w:t xml:space="preserve">  - Bank account signatures: Managing Member (sole signer)</w:t>
      </w:r>
    </w:p>
    <w:p>
      <w:r>
        <w:rPr>
          <w:b/>
          <w:color w:val="1F3864"/>
          <w:sz w:val="23"/>
        </w:rPr>
        <w:t>8.3 Equity vesting (operator-members)</w:t>
      </w:r>
    </w:p>
    <w:p>
      <w:r>
        <w:rPr>
          <w:b w:val="0"/>
          <w:i w:val="0"/>
          <w:sz w:val="21"/>
        </w:rPr>
        <w:t>Each operator-member's 13.3% interest is a Restricted Interest under the Operating Agreement, subject to milestone-based forfeiture conditions that lapse as the business achieves financial performance: 25% on the first month of Breakeven (EBITDA &gt;= 0), 50% on three consecutive Profitable months, and the final 25% on twelve consecutive Profitable months. Each grantee files a timely IRC Section 83(b) election. Unvested interests are forfeited on departure prior to milestone lapse, aligning operator equity with the credit's performance.</w:t>
      </w:r>
    </w:p>
    <w:p>
      <w:r>
        <w:br w:type="page"/>
      </w:r>
    </w:p>
    <w:p>
      <w:r>
        <w:rPr>
          <w:b/>
          <w:color w:val="1F3864"/>
          <w:sz w:val="30"/>
        </w:rPr>
        <w:t>09 - Leadership Team</w:t>
      </w:r>
    </w:p>
    <w:p>
      <w:r>
        <w:rPr>
          <w:b/>
          <w:color w:val="1F3864"/>
          <w:sz w:val="23"/>
        </w:rPr>
        <w:t>Geoff Schackmann - Managing Member (via Adeline &amp; Lilah, LLC, 39.9%)</w:t>
      </w:r>
    </w:p>
    <w:p>
      <w:r>
        <w:rPr>
          <w:b w:val="0"/>
          <w:i w:val="0"/>
          <w:sz w:val="21"/>
        </w:rPr>
        <w:t>Multi-hospice operator and transaction-led growth leader with operational responsibility for Medicare-certified hospice and palliative-care agencies across multiple states. Co-owner and Managing Member of Adeline &amp; Lilah, LLC (AZ), the holding entity through which equity in Tyler Hospice HoldCo is held.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$300,000 purchase price is paid in full at close from SBA proceeds and the equity injection (no retained seller note).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its wholly owned operating subsidiary Hickory Hospice LLC, and the non-operating holding entity Adeline &amp; Lilah, LLC - well within the applicable SBA size standard. The Managing Member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$195,000 in two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DSCR &gt; 1.25x and rising</w:t>
            </w:r>
          </w:p>
        </w:tc>
      </w:tr>
    </w:tbl>
    <w:p>
      <w:r>
        <w:rPr>
          <w:b w:val="0"/>
          <w:i/>
          <w:sz w:val="19"/>
        </w:rPr>
        <w:t>SBA disbursement is sequenced to occur with the full $195,000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w:t>
            </w:r>
          </w:p>
        </w:tc>
        <w:tc>
          <w:tcPr>
            <w:tcW w:type="dxa" w:w="1584"/>
          </w:tcPr>
          <w:p>
            <w:r/>
            <w:r>
              <w:rPr>
                <w:sz w:val="19"/>
              </w:rPr>
              <w:t>$555,000</w:t>
            </w:r>
          </w:p>
        </w:tc>
        <w:tc>
          <w:tcPr>
            <w:tcW w:type="dxa" w:w="3744"/>
          </w:tcPr>
          <w:p>
            <w:r/>
            <w:r>
              <w:rPr>
                <w:sz w:val="19"/>
              </w:rPr>
              <w:t>Acquisition of Hickory (paid at close)</w:t>
            </w:r>
          </w:p>
        </w:tc>
        <w:tc>
          <w:tcPr>
            <w:tcW w:type="dxa" w:w="1584"/>
          </w:tcPr>
          <w:p>
            <w:r/>
            <w:r>
              <w:rPr>
                <w:sz w:val="19"/>
              </w:rPr>
              <w:t>$300,000</w:t>
            </w:r>
          </w:p>
        </w:tc>
      </w:tr>
      <w:tr>
        <w:tc>
          <w:tcPr>
            <w:tcW w:type="dxa" w:w="3168"/>
          </w:tcPr>
          <w:p>
            <w:r/>
            <w:r>
              <w:rPr>
                <w:sz w:val="19"/>
              </w:rPr>
              <w:t>Cash equity injection (Bullard)</w:t>
            </w:r>
          </w:p>
        </w:tc>
        <w:tc>
          <w:tcPr>
            <w:tcW w:type="dxa" w:w="1584"/>
          </w:tcPr>
          <w:p>
            <w:r/>
            <w:r>
              <w:rPr>
                <w:sz w:val="19"/>
              </w:rPr>
              <w:t>$195,000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r>
          </w:p>
        </w:tc>
        <w:tc>
          <w:tcPr>
            <w:tcW w:type="dxa" w:w="1584"/>
          </w:tcPr>
          <w:p>
            <w:r/>
            <w:r>
              <w:rPr>
                <w:sz w:val="19"/>
              </w:rPr>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$372,000</w:t>
            </w:r>
          </w:p>
        </w:tc>
      </w:tr>
      <w:tr>
        <w:tc>
          <w:tcPr>
            <w:tcW w:type="dxa" w:w="3168"/>
          </w:tcPr>
          <w:p>
            <w:r/>
            <w:r>
              <w:rPr>
                <w:sz w:val="19"/>
              </w:rPr>
              <w:t>Total sources</w:t>
            </w:r>
          </w:p>
        </w:tc>
        <w:tc>
          <w:tcPr>
            <w:tcW w:type="dxa" w:w="1584"/>
          </w:tcPr>
          <w:p>
            <w:r/>
            <w:r>
              <w:rPr>
                <w:sz w:val="19"/>
              </w:rPr>
              <w:t>$750,000</w:t>
            </w:r>
          </w:p>
        </w:tc>
        <w:tc>
          <w:tcPr>
            <w:tcW w:type="dxa" w:w="3744"/>
          </w:tcPr>
          <w:p>
            <w:r/>
            <w:r>
              <w:rPr>
                <w:sz w:val="19"/>
              </w:rPr>
              <w:t>Total uses</w:t>
            </w:r>
          </w:p>
        </w:tc>
        <w:tc>
          <w:tcPr>
            <w:tcW w:type="dxa" w:w="1584"/>
          </w:tcPr>
          <w:p>
            <w:r/>
            <w:r>
              <w:rPr>
                <w:sz w:val="19"/>
              </w:rPr>
              <w:t>$750,000</w:t>
            </w:r>
          </w:p>
        </w:tc>
      </w:tr>
    </w:tbl>
    <w:p>
      <w:r>
        <w:rPr>
          <w:b w:val="0"/>
          <w:i w:val="0"/>
          <w:sz w:val="21"/>
        </w:rPr>
        <w:t>The seller is paid in full at close from SBA proceeds and the equity injection, so there is no retained seller note and the SBA loan is the only debt the business carries. The $195,000 injection is 26.0% of the $750,000 project.</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$555,000 - 11.5% APR - 120 mo - $7,803.05/mo</w:t>
            </w:r>
          </w:p>
        </w:tc>
      </w:tr>
      <w:tr>
        <w:tc>
          <w:tcPr>
            <w:tcW w:type="dxa" w:w="3744"/>
          </w:tcPr>
          <w:p>
            <w:r/>
            <w:r>
              <w:rPr>
                <w:sz w:val="19"/>
              </w:rPr>
              <w:t>Seller</w:t>
            </w:r>
          </w:p>
        </w:tc>
        <w:tc>
          <w:tcPr>
            <w:tcW w:type="dxa" w:w="5760"/>
          </w:tcPr>
          <w:p>
            <w:r/>
            <w:r>
              <w:rPr>
                <w:sz w:val="19"/>
              </w:rPr>
              <w:t>$300,000 paid in full at close (no retained note)</w:t>
            </w:r>
          </w:p>
        </w:tc>
      </w:tr>
      <w:tr>
        <w:tc>
          <w:tcPr>
            <w:tcW w:type="dxa" w:w="3744"/>
          </w:tcPr>
          <w:p>
            <w:r/>
            <w:r>
              <w:rPr>
                <w:sz w:val="19"/>
              </w:rPr>
              <w:t>Equity injection</w:t>
            </w:r>
          </w:p>
        </w:tc>
        <w:tc>
          <w:tcPr>
            <w:tcW w:type="dxa" w:w="5760"/>
          </w:tcPr>
          <w:p>
            <w:r/>
            <w:r>
              <w:rPr>
                <w:sz w:val="19"/>
              </w:rPr>
              <w:t>$195,000 cash (26.0% of project)</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 reserve</w:t>
            </w:r>
          </w:p>
        </w:tc>
        <w:tc>
          <w:tcPr>
            <w:tcW w:type="dxa" w:w="5760"/>
          </w:tcPr>
          <w:p>
            <w:r/>
            <w:r>
              <w:rPr>
                <w:sz w:val="19"/>
              </w:rPr>
              <w:t>$372,000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(SBA loan only)</w:t>
            </w:r>
          </w:p>
        </w:tc>
        <w:tc>
          <w:tcPr>
            <w:tcW w:type="dxa" w:w="2016"/>
          </w:tcPr>
          <w:p>
            <w:r/>
            <w:r>
              <w:rPr>
                <w:sz w:val="19"/>
              </w:rPr>
              <w:t>$62,202</w:t>
            </w:r>
          </w:p>
        </w:tc>
        <w:tc>
          <w:tcPr>
            <w:tcW w:type="dxa" w:w="2016"/>
          </w:tcPr>
          <w:p>
            <w:r/>
            <w:r>
              <w:rPr>
                <w:sz w:val="19"/>
              </w:rPr>
              <w:t>$58,741</w:t>
            </w:r>
          </w:p>
        </w:tc>
        <w:tc>
          <w:tcPr>
            <w:tcW w:type="dxa" w:w="2016"/>
          </w:tcPr>
          <w:p>
            <w:r/>
            <w:r>
              <w:rPr>
                <w:sz w:val="19"/>
              </w:rPr>
              <w:t>$54,551</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(SBA-only)</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clears comfortably</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clears comfortably</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clears comfortably</w:t>
            </w:r>
          </w:p>
        </w:tc>
      </w:tr>
    </w:tbl>
    <w:p>
      <w:r>
        <w:rPr>
          <w:b w:val="0"/>
          <w:i w:val="0"/>
          <w:sz w:val="21"/>
        </w:rPr>
        <w:t>DSCR here is on SBA debt service alone ($7,803.05/month) - there is no seller note. Month 1 is the transition month (partial census at 12 ADC) and is absorbed by the $372K opening cash reserve; coverage clears the 1.25x floor with wide margin as census stabilizes around the validated ~22 ADC. On an annual basis Year 1 covers at 3.23x.</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SBA debt service (only debt)</w:t>
            </w:r>
          </w:p>
        </w:tc>
        <w:tc>
          <w:tcPr>
            <w:tcW w:type="dxa" w:w="2016"/>
          </w:tcPr>
          <w:p>
            <w:r/>
            <w:r>
              <w:rPr>
                <w:sz w:val="19"/>
              </w:rPr>
              <w:t>$93,637</w:t>
            </w:r>
          </w:p>
        </w:tc>
        <w:tc>
          <w:tcPr>
            <w:tcW w:type="dxa" w:w="2016"/>
          </w:tcPr>
          <w:p>
            <w:r/>
            <w:r>
              <w:rPr>
                <w:sz w:val="19"/>
              </w:rPr>
              <w:t>$93,637</w:t>
            </w:r>
          </w:p>
        </w:tc>
        <w:tc>
          <w:tcPr>
            <w:tcW w:type="dxa" w:w="2016"/>
          </w:tcPr>
          <w:p>
            <w:r/>
            <w:r>
              <w:rPr>
                <w:sz w:val="19"/>
              </w:rPr>
              <w:t>$93,637</w:t>
            </w:r>
          </w:p>
        </w:tc>
      </w:tr>
      <w:tr>
        <w:tc>
          <w:tcPr>
            <w:tcW w:type="dxa" w:w="3744"/>
          </w:tcPr>
          <w:p>
            <w:r/>
            <w:r>
              <w:rPr>
                <w:sz w:val="19"/>
              </w:rPr>
              <w:t>DSCR (SBA-only)</w:t>
            </w:r>
          </w:p>
        </w:tc>
        <w:tc>
          <w:tcPr>
            <w:tcW w:type="dxa" w:w="2016"/>
          </w:tcPr>
          <w:p>
            <w:r/>
            <w:r>
              <w:rPr>
                <w:sz w:val="19"/>
              </w:rPr>
              <w:t>3.23x</w:t>
            </w:r>
          </w:p>
        </w:tc>
        <w:tc>
          <w:tcPr>
            <w:tcW w:type="dxa" w:w="2016"/>
          </w:tcPr>
          <w:p>
            <w:r/>
            <w:r>
              <w:rPr>
                <w:sz w:val="19"/>
              </w:rPr>
              <w:t>7.26x</w:t>
            </w:r>
          </w:p>
        </w:tc>
        <w:tc>
          <w:tcPr>
            <w:tcW w:type="dxa" w:w="2016"/>
          </w:tcPr>
          <w:p>
            <w:r/>
            <w:r>
              <w:rPr>
                <w:sz w:val="19"/>
              </w:rPr>
              <w:t>10.76x</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Global 3-year DSCR: 7.08x (vs. 1.25x floor). Because the seller is paid in full at close, the SBA loan ($7,803.05/mo, $93,637/yr) is the only debt the business carries, so coverage is strong from Year 1 and rises as census builds. Break-even is approximately 16 ADC, below the validated opening census of ~22 ADC, so the operation is profitable on the opening book.</w:t>
      </w:r>
    </w:p>
    <w:p>
      <w:r>
        <w:rPr>
          <w:b/>
          <w:color w:val="1F3864"/>
          <w:sz w:val="23"/>
        </w:rPr>
        <w:t>11.7 Stress tests (Year-2 steady state, SBA-only debt service,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7.26x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$2,182,913</w:t>
            </w:r>
          </w:p>
        </w:tc>
        <w:tc>
          <w:tcPr>
            <w:tcW w:type="dxa" w:w="1872"/>
          </w:tcPr>
          <w:p>
            <w:r/>
            <w:r>
              <w:rPr>
                <w:sz w:val="19"/>
              </w:rPr>
              <w:t>$186,766</w:t>
            </w:r>
          </w:p>
        </w:tc>
        <w:tc>
          <w:tcPr>
            <w:tcW w:type="dxa" w:w="1296"/>
          </w:tcPr>
          <w:p>
            <w:r/>
            <w:r>
              <w:rPr>
                <w:sz w:val="19"/>
              </w:rPr>
              <w:t>1.99x</w:t>
            </w:r>
          </w:p>
        </w:tc>
        <w:tc>
          <w:tcPr>
            <w:tcW w:type="dxa" w:w="1296"/>
          </w:tcPr>
          <w:p>
            <w:r/>
            <w:r>
              <w:rPr>
                <w:sz w:val="19"/>
              </w:rPr>
              <w:t>Yes</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($182,802)</w:t>
            </w:r>
          </w:p>
        </w:tc>
        <w:tc>
          <w:tcPr>
            <w:tcW w:type="dxa" w:w="1296"/>
          </w:tcPr>
          <w:p>
            <w:r/>
            <w:r>
              <w:rPr>
                <w:sz w:val="19"/>
              </w:rPr>
              <w:t>&lt;0</w:t>
            </w:r>
          </w:p>
        </w:tc>
        <w:tc>
          <w:tcPr>
            <w:tcW w:type="dxa" w:w="1296"/>
          </w:tcPr>
          <w:p>
            <w:r/>
            <w:r>
              <w:rPr>
                <w:sz w:val="19"/>
              </w:rPr>
              <w:t>No</w:t>
            </w:r>
          </w:p>
        </w:tc>
      </w:tr>
      <w:tr>
        <w:tc>
          <w:tcPr>
            <w:tcW w:type="dxa" w:w="3456"/>
          </w:tcPr>
          <w:p>
            <w:r/>
            <w:r>
              <w:rPr>
                <w:sz w:val="19"/>
              </w:rPr>
              <w:t>Wage +10% (fixed-cost shock)</w:t>
            </w:r>
          </w:p>
        </w:tc>
        <w:tc>
          <w:tcPr>
            <w:tcW w:type="dxa" w:w="2016"/>
          </w:tcPr>
          <w:p>
            <w:r/>
            <w:r>
              <w:rPr>
                <w:sz w:val="19"/>
              </w:rPr>
              <w:t>$2,728,642</w:t>
            </w:r>
          </w:p>
        </w:tc>
        <w:tc>
          <w:tcPr>
            <w:tcW w:type="dxa" w:w="1872"/>
          </w:tcPr>
          <w:p>
            <w:r/>
            <w:r>
              <w:rPr>
                <w:sz w:val="19"/>
              </w:rPr>
              <w:t>$501,098</w:t>
            </w:r>
          </w:p>
        </w:tc>
        <w:tc>
          <w:tcPr>
            <w:tcW w:type="dxa" w:w="1296"/>
          </w:tcPr>
          <w:p>
            <w:r/>
            <w:r>
              <w:rPr>
                <w:sz w:val="19"/>
              </w:rPr>
              <w:t>5.35x</w:t>
            </w:r>
          </w:p>
        </w:tc>
        <w:tc>
          <w:tcPr>
            <w:tcW w:type="dxa" w:w="1296"/>
          </w:tcPr>
          <w:p>
            <w:r/>
            <w:r>
              <w:rPr>
                <w:sz w:val="19"/>
              </w:rPr>
              <w:t>Yes</w:t>
            </w:r>
          </w:p>
        </w:tc>
      </w:tr>
      <w:tr>
        <w:tc>
          <w:tcPr>
            <w:tcW w:type="dxa" w:w="3456"/>
          </w:tcPr>
          <w:p>
            <w:r/>
            <w:r>
              <w:rPr>
                <w:sz w:val="19"/>
              </w:rPr>
              <w:t>Combined (-20% census / +10% cost)</w:t>
            </w:r>
          </w:p>
        </w:tc>
        <w:tc>
          <w:tcPr>
            <w:tcW w:type="dxa" w:w="2016"/>
          </w:tcPr>
          <w:p>
            <w:r/>
            <w:r>
              <w:rPr>
                <w:sz w:val="19"/>
              </w:rPr>
              <w:t>$2,182,913</w:t>
            </w:r>
          </w:p>
        </w:tc>
        <w:tc>
          <w:tcPr>
            <w:tcW w:type="dxa" w:w="1872"/>
          </w:tcPr>
          <w:p>
            <w:r/>
            <w:r>
              <w:rPr>
                <w:sz w:val="19"/>
              </w:rPr>
              <w:t>$8,340</w:t>
            </w:r>
          </w:p>
        </w:tc>
        <w:tc>
          <w:tcPr>
            <w:tcW w:type="dxa" w:w="1296"/>
          </w:tcPr>
          <w:p>
            <w:r/>
            <w:r>
              <w:rPr>
                <w:sz w:val="19"/>
              </w:rPr>
              <w:t>0.09x</w:t>
            </w:r>
          </w:p>
        </w:tc>
        <w:tc>
          <w:tcPr>
            <w:tcW w:type="dxa" w:w="1296"/>
          </w:tcPr>
          <w:p>
            <w:r/>
            <w:r>
              <w:rPr>
                <w:sz w:val="19"/>
              </w:rPr>
              <w:t>No</w:t>
            </w:r>
          </w:p>
        </w:tc>
      </w:tr>
    </w:tbl>
    <w:p>
      <w:r>
        <w:rPr>
          <w:b w:val="0"/>
          <w:i w:val="0"/>
          <w:sz w:val="21"/>
        </w:rPr>
        <w:t>Reading the stress tests. Because the seller is paid at close, debt service is the SBA loan alone ($93,637), and Year-2 coverage absorbs a great deal: the base case covers at 7.26x, a sustained 20% census drop still clears at 1.99x, and a 10% fixed-cost spike clears at 5.35x. Only the extreme cases fail - a 35% census collapse turns EBITDA negative, and a severe combined shock (-20% census AND +10% costs, full roster held constant) is essentially uncovered (0.09x). Even these understate resilience: (1) the roster is census-driven, so a 20-35% lower census carries a lighter cost base than the static test assumes; (2) the binding variable is census, which is why opening census is the validated ~22 ADC book (break-even ~16 ADC), not a cold start; and (3) the $372K reserve bridges timing shortfalls. A detailed Year-1 single-factor and combined sensitivity is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validated, benchmarked economics, a CHOW that keeps the agency billing from day one, an experienced operator, and a well-capitalized single-loan structure (seller paid at close).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864"/>
          </w:tcPr>
          <w:p>
            <w:r/>
            <w:r>
              <w:rPr>
                <w:sz w:val="19"/>
              </w:rPr>
              <w:t>Med</w:t>
            </w:r>
          </w:p>
        </w:tc>
        <w:tc>
          <w:tcPr>
            <w:tcW w:type="dxa" w:w="5184"/>
          </w:tcPr>
          <w:p>
            <w:r/>
            <w:r>
              <w:rPr>
                <w:sz w:val="19"/>
              </w:rPr>
              <w:t>Seller paid at close, so the SBA loan is the only debt; DSCR clears the 1.25x floor annually and rises 3.23x -&gt; 10.76x (global 7.08x)</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$372K reserve funds any claims-processing pause; only SBA debt service to cover</w:t>
            </w:r>
          </w:p>
        </w:tc>
      </w:tr>
      <w:tr>
        <w:tc>
          <w:tcPr>
            <w:tcW w:type="dxa" w:w="2448"/>
          </w:tcPr>
          <w:p>
            <w:r/>
            <w:r>
              <w:rPr>
                <w:sz w:val="19"/>
              </w:rPr>
              <w:t>Slower census ramp</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liquidity covers timing shortfalls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fixed-cost shock holds at 5.35x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864"/>
          </w:tcPr>
          <w:p>
            <w:r/>
            <w:r>
              <w:rPr>
                <w:sz w:val="19"/>
              </w:rPr>
              <w:t>Med</w:t>
            </w:r>
          </w:p>
        </w:tc>
        <w:tc>
          <w:tcPr>
            <w:tcW w:type="dxa" w:w="5184"/>
          </w:tcPr>
          <w:p>
            <w:r/>
            <w:r>
              <w:rPr>
                <w:sz w:val="19"/>
              </w:rPr>
              <w:t>Acquires an established billing-ready agency benchmarked to actual collections; operator has 10+ years of hospice ownership; 26% equity injection</w:t>
            </w:r>
          </w:p>
        </w:tc>
      </w:tr>
    </w:tbl>
    <w:p>
      <w:r>
        <w:rPr>
          <w:b w:val="0"/>
          <w:i w:val="0"/>
          <w:sz w:val="21"/>
        </w:rPr>
        <w:t>The credit's core protection is liquidity and a clean structure: a $372,000 opening reserve plus a single SBA loan (the seller is paid at close, so there is no second debt layer) keep Azalea solvent and well-covered through the modeled scenarios.</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$195K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DSCR well above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above 10x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startup CHOW acquisition and relaunch of an established, Medicare-certified hospice on validated economics, led by an operator with 10+ years of hospice ownership. The credit rests on three verifiable points: (1) the acquired book's actual operating results, which the opening steady-state model reconciles to within ~2%; (2) a base case whose DSCR clears the 1.25x floor and strengthens every year (3.23x -&gt; 7.26x -&gt; 10.76x; global 7.08x), because the seller is paid at close and the SBA loan is the only debt; and (3) a well-capitalized structure - $195K cash equity (33% of project) and a $372K opening reserve - that keeps liquidity intact through stress scenarios. The binding risk is a sustained census shortfall, mitigated by a validated opening book above break-even, a census-driven cost structure, and substantial liquidity.</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