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Hold,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Hold,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Geoff Schackmann (individual)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Manager of Tyler Hospice Hold,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Manager (Geoff Schackmann)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as Restricted Interests, the entire 13.3% of which is at risk and forfeitable until vested. Each interest comprises a 4.9% Initial Base that time-vests on a four-year schedule with a one-year cliff (continuous service alone) and an 8.4% Earn-Up Portion that vests only on a dual trigger - a four-year time schedule with a one-year cliff AND performance milestones, the lesser of the two governing - so each operator may earn up to a fully-vested 13.3%, recorded in the Operating Agreement (Amendment No. 1). Unvested interests are forfeited at $0 on departure; vested interests are subject to a Company repurchase (call) right at fair market value for a good-leaver separation (no-cause termination, death, disability, retirement) or the lower of cost or fair market value for a bad-leaver separation (resignation before full vesting, or termination for cause).</w:t>
      </w:r>
    </w:p>
    <w:p>
      <w:r>
        <w:rPr>
          <w:b w:val="0"/>
          <w:i/>
          <w:sz w:val="18"/>
        </w:rPr>
        <w:t>Ownership: Geoff Schackmann owns the 39.9% interest in Tyler Hospice Hold, LLC directly, as an individual, and serves as Manager; he is the sole 20%+ owner of record and the sole personal guarantor for SBA purposes. The 39.9% interest is community property under Arizona law; Mary Elizabeth Burcham (Geoff's spouse) accordingly holds a community-property interest of approximately 19.95% in Tyler Hospice Hold, LLC. She is passive and non-managing, her community-property interest is under 20%, and as the owner's spouse she will sign a spousal / community-property consent on the Operating Agreement and on Geoff's personal guaranty at close (not a co-guaranty).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Hold,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