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 LLC, operating as Azalea Hospice &amp; Palliative Care</w:t>
      </w:r>
    </w:p>
    <w:p>
      <w:r>
        <w:rPr>
          <w:b w:val="0"/>
          <w:i w:val="0"/>
          <w:color w:val="606060"/>
          <w:sz w:val="18"/>
        </w:rPr>
        <w:t>dba Azalea Hospice &amp; Palliative Care - EIN 41-4966640 - Wyoming holding company operating Hickory Hospice LLC (Texas)</w:t>
      </w:r>
    </w:p>
    <w:p>
      <w:r>
        <w:rPr>
          <w:b w:val="0"/>
          <w:i/>
          <w:color w:val="606060"/>
          <w:sz w:val="18"/>
        </w:rPr>
        <w:t>Rev. 5.00 - June 2026  (supersedes Rev 4.00 dated 2026-06-02; financials reconciled to the current operating model and capital structure updated)</w:t>
      </w:r>
    </w:p>
    <w:p>
      <w:r>
        <w:rPr>
          <w:b w:val="0"/>
          <w:i w:val="0"/>
          <w:sz w:val="21"/>
        </w:rPr>
      </w:r>
    </w:p>
    <w:p>
      <w:r>
        <w:rPr>
          <w:b w:val="0"/>
          <w:i w:val="0"/>
          <w:sz w:val="21"/>
        </w:rPr>
        <w:t>Acquisition and relaunch of Hickory Hospice LLC - an established, Medicare-certified hospice - as Azalea Hospice &amp; Palliative Care, led by an experienced East-Texas clinical team with an established patient panel and modeled on validated local economics.</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SBA loan request</w:t>
            </w:r>
          </w:p>
        </w:tc>
        <w:tc>
          <w:tcPr>
            <w:tcW w:type="dxa" w:w="1872"/>
          </w:tcPr>
          <w:p>
            <w:r/>
            <w:r>
              <w:rPr>
                <w:sz w:val="19"/>
              </w:rPr>
              <w:t>$450,000</w:t>
            </w:r>
          </w:p>
        </w:tc>
        <w:tc>
          <w:tcPr>
            <w:tcW w:type="dxa" w:w="5184"/>
          </w:tcPr>
          <w:p>
            <w:r/>
            <w:r>
              <w:rPr>
                <w:sz w:val="19"/>
              </w:rPr>
              <w:t>SBA 7(a) - 15-yr term, ~10.5%; startup + working capital</w:t>
            </w:r>
          </w:p>
        </w:tc>
      </w:tr>
      <w:tr>
        <w:tc>
          <w:tcPr>
            <w:tcW w:type="dxa" w:w="2304"/>
          </w:tcPr>
          <w:p>
            <w:r/>
            <w:r>
              <w:rPr>
                <w:sz w:val="19"/>
              </w:rPr>
              <w:t>Bank acquisition loan</w:t>
            </w:r>
          </w:p>
        </w:tc>
        <w:tc>
          <w:tcPr>
            <w:tcW w:type="dxa" w:w="1872"/>
          </w:tcPr>
          <w:p>
            <w:r/>
            <w:r>
              <w:rPr>
                <w:sz w:val="19"/>
              </w:rPr>
              <w:t>$300,000</w:t>
            </w:r>
          </w:p>
        </w:tc>
        <w:tc>
          <w:tcPr>
            <w:tcW w:type="dxa" w:w="5184"/>
          </w:tcPr>
          <w:p>
            <w:r/>
            <w:r>
              <w:rPr>
                <w:sz w:val="19"/>
              </w:rPr>
              <w:t>6%, 3-yr amort.; J. Bullard PG; subordinate to SBA (piggyback)</w:t>
            </w:r>
          </w:p>
        </w:tc>
      </w:tr>
      <w:tr>
        <w:tc>
          <w:tcPr>
            <w:tcW w:type="dxa" w:w="2304"/>
          </w:tcPr>
          <w:p>
            <w:r/>
            <w:r>
              <w:rPr>
                <w:sz w:val="19"/>
              </w:rPr>
              <w:t>Total project</w:t>
            </w:r>
          </w:p>
        </w:tc>
        <w:tc>
          <w:tcPr>
            <w:tcW w:type="dxa" w:w="1872"/>
          </w:tcPr>
          <w:p>
            <w:r/>
            <w:r>
              <w:rPr>
                <w:sz w:val="19"/>
              </w:rPr>
              <w:t>$945K</w:t>
            </w:r>
          </w:p>
        </w:tc>
        <w:tc>
          <w:tcPr>
            <w:tcW w:type="dxa" w:w="5184"/>
          </w:tcPr>
          <w:p>
            <w:r/>
            <w:r>
              <w:rPr>
                <w:sz w:val="19"/>
              </w:rPr>
              <w:t>$450K SBA + $300K bank + $195K equity</w:t>
            </w:r>
          </w:p>
        </w:tc>
      </w:tr>
      <w:tr>
        <w:tc>
          <w:tcPr>
            <w:tcW w:type="dxa" w:w="2304"/>
          </w:tcPr>
          <w:p>
            <w:r/>
            <w:r>
              <w:rPr>
                <w:sz w:val="19"/>
              </w:rPr>
              <w:t>Year-1 EBITDA</w:t>
            </w:r>
          </w:p>
        </w:tc>
        <w:tc>
          <w:tcPr>
            <w:tcW w:type="dxa" w:w="1872"/>
          </w:tcPr>
          <w:p>
            <w:r/>
            <w:r>
              <w:rPr>
                <w:sz w:val="19"/>
              </w:rPr>
              <w:t>$302,522</w:t>
            </w:r>
          </w:p>
        </w:tc>
        <w:tc>
          <w:tcPr>
            <w:tcW w:type="dxa" w:w="5184"/>
          </w:tcPr>
          <w:p>
            <w:r/>
            <w:r>
              <w:rPr>
                <w:sz w:val="19"/>
              </w:rPr>
              <w:t>21.0% margin - growing to $1.01M by Year 3</w:t>
            </w:r>
          </w:p>
        </w:tc>
      </w:tr>
      <w:tr>
        <w:tc>
          <w:tcPr>
            <w:tcW w:type="dxa" w:w="2304"/>
          </w:tcPr>
          <w:p>
            <w:r/>
            <w:r>
              <w:rPr>
                <w:sz w:val="19"/>
              </w:rPr>
              <w:t>Global DSCR (combined debt)</w:t>
            </w:r>
          </w:p>
        </w:tc>
        <w:tc>
          <w:tcPr>
            <w:tcW w:type="dxa" w:w="1872"/>
          </w:tcPr>
          <w:p>
            <w:r/>
            <w:r>
              <w:rPr>
                <w:sz w:val="19"/>
              </w:rPr>
              <w:t>3.92x</w:t>
            </w:r>
          </w:p>
        </w:tc>
        <w:tc>
          <w:tcPr>
            <w:tcW w:type="dxa" w:w="5184"/>
          </w:tcPr>
          <w:p>
            <w:r/>
            <w:r>
              <w:rPr>
                <w:sz w:val="19"/>
              </w:rPr>
              <w:t>3-yr - floor 1.25x</w:t>
            </w:r>
          </w:p>
        </w:tc>
      </w:tr>
      <w:tr>
        <w:tc>
          <w:tcPr>
            <w:tcW w:type="dxa" w:w="2304"/>
          </w:tcPr>
          <w:p>
            <w:r/>
            <w:r>
              <w:rPr>
                <w:sz w:val="19"/>
              </w:rPr>
              <w:t>Equity injection</w:t>
            </w:r>
          </w:p>
        </w:tc>
        <w:tc>
          <w:tcPr>
            <w:tcW w:type="dxa" w:w="1872"/>
          </w:tcPr>
          <w:p>
            <w:r/>
            <w:r>
              <w:rPr>
                <w:sz w:val="19"/>
              </w:rPr>
              <w:t>$195,000</w:t>
            </w:r>
          </w:p>
        </w:tc>
        <w:tc>
          <w:tcPr>
            <w:tcW w:type="dxa" w:w="5184"/>
          </w:tcPr>
          <w:p>
            <w:r/>
            <w:r>
              <w:rPr>
                <w:sz w:val="19"/>
              </w:rPr>
              <w:t>20.6% of project ($180K SBA injection + $15K WC) - above the 10% SOP 50 10 8 minimum</w:t>
            </w:r>
          </w:p>
        </w:tc>
      </w:tr>
    </w:tbl>
    <w:p>
      <w:r>
        <w:rPr>
          <w:b w:val="0"/>
          <w:i/>
          <w:color w:val="606060"/>
          <w:sz w:val="16"/>
        </w:rPr>
        <w:t>Confidential - prepared exclusively for the SBA 7(a) loan application. All figures are computed from the Azalea Hospice SBA Loan Package operating model.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$450,000 SBA 7(a) loan to fund the startup costs and working capital for the acquisition and relaunch of Hickory Hospice LLC - an established, Medicare-certified hospice - as Azalea Hospice &amp; Palliative Care. The agency's existing Medicare-certified provider number is acquired through a change of ownership (CHOW) for $300,000, financed by a separate 3-year bank acquisition term loan (6%) from a bank the investor uses, personally guaranteed by the investor and subordinate to the SBA loan - giving Azalea immediate, billing-ready capability with no new-enrollment delay. The loans are paired with a $195,000 cash equity injection, for a total project of $945,000. The business carries two debts after close: the senior SBA loan and the subordinate 3-year bank acquisition loan, which retires after Year 3 to leave only the SBA loan.</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Hickory</w:t>
            </w:r>
          </w:p>
        </w:tc>
        <w:tc>
          <w:tcPr>
            <w:tcW w:type="dxa" w:w="1584"/>
          </w:tcPr>
          <w:p>
            <w:r/>
            <w:r>
              <w:rPr>
                <w:sz w:val="19"/>
              </w:rPr>
              <w:t>$300,000</w:t>
            </w:r>
          </w:p>
        </w:tc>
        <w:tc>
          <w:tcPr>
            <w:tcW w:type="dxa" w:w="4176"/>
          </w:tcPr>
          <w:p>
            <w:r/>
            <w:r>
              <w:rPr>
                <w:sz w:val="19"/>
              </w:rPr>
              <w:t>100% membership interests; provider number / license / accreditation transfer in the CHOW; funded by the bank acquisition loan</w:t>
            </w:r>
          </w:p>
        </w:tc>
      </w:tr>
      <w:tr>
        <w:tc>
          <w:tcPr>
            <w:tcW w:type="dxa" w:w="3600"/>
          </w:tcPr>
          <w:p>
            <w:r/>
            <w:r>
              <w:rPr>
                <w:sz w:val="19"/>
              </w:rPr>
              <w:t>Startup one-time costs</w:t>
            </w:r>
          </w:p>
        </w:tc>
        <w:tc>
          <w:tcPr>
            <w:tcW w:type="dxa" w:w="1584"/>
          </w:tcPr>
          <w:p>
            <w:r/>
            <w:r>
              <w:rPr>
                <w:sz w:val="19"/>
              </w:rPr>
              <w:t>$63,000</w:t>
            </w:r>
          </w:p>
        </w:tc>
        <w:tc>
          <w:tcPr>
            <w:tcW w:type="dxa" w:w="4176"/>
          </w:tcPr>
          <w:p>
            <w:r/>
            <w:r>
              <w:rPr>
                <w:sz w:val="19"/>
              </w:rPr>
              <w:t>855A filing, TX licensure, EMR, supply stock, legal, contingency</w:t>
            </w:r>
          </w:p>
        </w:tc>
      </w:tr>
      <w:tr>
        <w:tc>
          <w:tcPr>
            <w:tcW w:type="dxa" w:w="3600"/>
          </w:tcPr>
          <w:p>
            <w:r/>
            <w:r>
              <w:rPr>
                <w:sz w:val="19"/>
              </w:rPr>
              <w:t>Startup equipment (capex)</w:t>
            </w:r>
          </w:p>
        </w:tc>
        <w:tc>
          <w:tcPr>
            <w:tcW w:type="dxa" w:w="1584"/>
          </w:tcPr>
          <w:p>
            <w:r/>
            <w:r>
              <w:rPr>
                <w:sz w:val="19"/>
              </w:rPr>
              <w:t>$15,000</w:t>
            </w:r>
          </w:p>
        </w:tc>
        <w:tc>
          <w:tcPr>
            <w:tcW w:type="dxa" w:w="4176"/>
          </w:tcPr>
          <w:p>
            <w:r/>
            <w:r>
              <w:rPr>
                <w:sz w:val="19"/>
              </w:rPr>
              <w:t>Computers, office furniture; 5-yr straight-line depreciation</w:t>
            </w:r>
          </w:p>
        </w:tc>
      </w:tr>
      <w:tr>
        <w:tc>
          <w:tcPr>
            <w:tcW w:type="dxa" w:w="3600"/>
          </w:tcPr>
          <w:p>
            <w:r/>
            <w:r>
              <w:rPr>
                <w:sz w:val="19"/>
              </w:rPr>
              <w:t>Working-capital reserve (opening cash)</w:t>
            </w:r>
          </w:p>
        </w:tc>
        <w:tc>
          <w:tcPr>
            <w:tcW w:type="dxa" w:w="1584"/>
          </w:tcPr>
          <w:p>
            <w:r/>
            <w:r>
              <w:rPr>
                <w:sz w:val="19"/>
              </w:rPr>
              <w:t>$567,000</w:t>
            </w:r>
          </w:p>
        </w:tc>
        <w:tc>
          <w:tcPr>
            <w:tcW w:type="dxa" w:w="4176"/>
          </w:tcPr>
          <w:p>
            <w:r/>
            <w:r>
              <w:rPr>
                <w:sz w:val="19"/>
              </w:rPr>
              <w:t>Funds ramp payroll and combined debt service; holds the $25K floor</w:t>
            </w:r>
          </w:p>
        </w:tc>
      </w:tr>
      <w:tr>
        <w:tc>
          <w:tcPr>
            <w:tcW w:type="dxa" w:w="3600"/>
          </w:tcPr>
          <w:p>
            <w:r/>
            <w:r>
              <w:rPr>
                <w:sz w:val="19"/>
              </w:rPr>
              <w:t>Total uses</w:t>
            </w:r>
          </w:p>
        </w:tc>
        <w:tc>
          <w:tcPr>
            <w:tcW w:type="dxa" w:w="1584"/>
          </w:tcPr>
          <w:p>
            <w:r/>
            <w:r>
              <w:rPr>
                <w:sz w:val="19"/>
              </w:rPr>
              <w:t>$945,000</w:t>
            </w:r>
          </w:p>
        </w:tc>
        <w:tc>
          <w:tcPr>
            <w:tcW w:type="dxa" w:w="4176"/>
          </w:tcPr>
          <w:p>
            <w:r/>
            <w:r>
              <w:rPr>
                <w:sz w:val="19"/>
              </w:rPr>
              <w:t>Funded by SBA $450K + Bank $300K + Equity $195K</w:t>
            </w:r>
          </w:p>
        </w:tc>
      </w:tr>
    </w:tbl>
    <w:p>
      <w:r>
        <w:rPr>
          <w:b/>
          <w:color w:val="1F3864"/>
          <w:sz w:val="23"/>
        </w:rPr>
        <w:t>Business overview</w:t>
      </w:r>
    </w:p>
    <w:p>
      <w:r>
        <w:rPr>
          <w:b w:val="0"/>
          <w:i w:val="0"/>
          <w:sz w:val="21"/>
        </w:rPr>
        <w:t>Azalea relaunches the acquired Hickory agency in the Tyler / Smith County market (CBSA 46340) under an experienced local team that brings established referral relationships and an existing patient panel. The model is grounded in validated economics - a proven ~22 ADC / ~$118K-net-per-month book benchmarked to actual collections - and the base case grows with the local referral pipeline to ~40 ADC in Year 2 and ~54 ADC in Year 3. Revenue is 100% Medicare RHC per-diem at a blended net rate of $181/patient-day (escalating 2.5%/year).</w:t>
      </w:r>
    </w:p>
    <w:p>
      <w:r>
        <w:rPr>
          <w:b/>
          <w:color w:val="1F3864"/>
          <w:sz w:val="23"/>
        </w:rPr>
        <w:t>Management team</w:t>
      </w:r>
    </w:p>
    <w:p>
      <w:r>
        <w:rPr>
          <w:b w:val="0"/>
          <w:i w:val="0"/>
          <w:sz w:val="21"/>
        </w:rPr>
        <w:t>Azalea is led by an already-seated team: Geoff Schackmann (Manager - multi-hospice operator), Silas Shelton (Executive Director), Dana Davenport (Director of Nursing), and Bradley Woodard (Director of Sales - 25+ years East-Texas hospice business development), supported by RN case managers, hospice aides, a PRN visit pool, and 1099 Medical Directors.</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592"/>
          </w:tcPr>
          <w:p>
            <w:r/>
            <w:r>
              <w:rPr>
                <w:b/>
                <w:sz w:val="19"/>
              </w:rPr>
            </w:r>
          </w:p>
        </w:tc>
        <w:tc>
          <w:tcPr>
            <w:tcW w:type="dxa" w:w="2160"/>
          </w:tcPr>
          <w:p>
            <w:r/>
            <w:r>
              <w:rPr>
                <w:b/>
                <w:sz w:val="19"/>
              </w:rPr>
              <w:t>Year 1</w:t>
            </w:r>
          </w:p>
        </w:tc>
        <w:tc>
          <w:tcPr>
            <w:tcW w:type="dxa" w:w="2160"/>
          </w:tcPr>
          <w:p>
            <w:r/>
            <w:r>
              <w:rPr>
                <w:b/>
                <w:sz w:val="19"/>
              </w:rPr>
              <w:t>Year 2</w:t>
            </w:r>
          </w:p>
        </w:tc>
        <w:tc>
          <w:tcPr>
            <w:tcW w:type="dxa" w:w="2160"/>
          </w:tcPr>
          <w:p>
            <w:r/>
            <w:r>
              <w:rPr>
                <w:b/>
                <w:sz w:val="19"/>
              </w:rPr>
              <w:t>Year 3</w:t>
            </w:r>
          </w:p>
        </w:tc>
      </w:tr>
      <w:tr>
        <w:tc>
          <w:tcPr>
            <w:tcW w:type="dxa" w:w="2592"/>
          </w:tcPr>
          <w:p>
            <w:r/>
            <w:r>
              <w:rPr>
                <w:sz w:val="19"/>
              </w:rPr>
              <w:t>Net income</w:t>
            </w:r>
          </w:p>
        </w:tc>
        <w:tc>
          <w:tcPr>
            <w:tcW w:type="dxa" w:w="2160"/>
          </w:tcPr>
          <w:p>
            <w:r/>
            <w:r>
              <w:rPr>
                <w:sz w:val="19"/>
              </w:rPr>
              <w:t>$199,308</w:t>
            </w:r>
          </w:p>
        </w:tc>
        <w:tc>
          <w:tcPr>
            <w:tcW w:type="dxa" w:w="2160"/>
          </w:tcPr>
          <w:p>
            <w:r/>
            <w:r>
              <w:rPr>
                <w:sz w:val="19"/>
              </w:rPr>
              <w:t>$574,951</w:t>
            </w:r>
          </w:p>
        </w:tc>
        <w:tc>
          <w:tcPr>
            <w:tcW w:type="dxa" w:w="2160"/>
          </w:tcPr>
          <w:p>
            <w:r/>
            <w:r>
              <w:rPr>
                <w:sz w:val="19"/>
              </w:rPr>
              <w:t>$903,362</w:t>
            </w:r>
          </w:p>
        </w:tc>
      </w:tr>
      <w:tr>
        <w:tc>
          <w:tcPr>
            <w:tcW w:type="dxa" w:w="2592"/>
          </w:tcPr>
          <w:p>
            <w:r/>
            <w:r>
              <w:rPr>
                <w:sz w:val="19"/>
              </w:rPr>
              <w:t>EBITDA</w:t>
            </w:r>
          </w:p>
        </w:tc>
        <w:tc>
          <w:tcPr>
            <w:tcW w:type="dxa" w:w="2160"/>
          </w:tcPr>
          <w:p>
            <w:r/>
            <w:r>
              <w:rPr>
                <w:sz w:val="19"/>
              </w:rPr>
              <w:t>$302,522</w:t>
            </w:r>
          </w:p>
        </w:tc>
        <w:tc>
          <w:tcPr>
            <w:tcW w:type="dxa" w:w="2160"/>
          </w:tcPr>
          <w:p>
            <w:r/>
            <w:r>
              <w:rPr>
                <w:sz w:val="19"/>
              </w:rPr>
              <w:t>$679,524</w:t>
            </w:r>
          </w:p>
        </w:tc>
        <w:tc>
          <w:tcPr>
            <w:tcW w:type="dxa" w:w="2160"/>
          </w:tcPr>
          <w:p>
            <w:r/>
            <w:r>
              <w:rPr>
                <w:sz w:val="19"/>
              </w:rPr>
              <w:t>$1,007,520</w:t>
            </w:r>
          </w:p>
        </w:tc>
      </w:tr>
      <w:tr>
        <w:tc>
          <w:tcPr>
            <w:tcW w:type="dxa" w:w="2592"/>
          </w:tcPr>
          <w:p>
            <w:r/>
            <w:r>
              <w:rPr>
                <w:sz w:val="19"/>
              </w:rPr>
              <w:t>DSCR (combined debt)</w:t>
            </w:r>
          </w:p>
        </w:tc>
        <w:tc>
          <w:tcPr>
            <w:tcW w:type="dxa" w:w="2160"/>
          </w:tcPr>
          <w:p>
            <w:r/>
            <w:r>
              <w:rPr>
                <w:sz w:val="19"/>
              </w:rPr>
              <w:t>1.79x</w:t>
            </w:r>
          </w:p>
        </w:tc>
        <w:tc>
          <w:tcPr>
            <w:tcW w:type="dxa" w:w="2160"/>
          </w:tcPr>
          <w:p>
            <w:r/>
            <w:r>
              <w:rPr>
                <w:sz w:val="19"/>
              </w:rPr>
              <w:t>4.02x</w:t>
            </w:r>
          </w:p>
        </w:tc>
        <w:tc>
          <w:tcPr>
            <w:tcW w:type="dxa" w:w="2160"/>
          </w:tcPr>
          <w:p>
            <w:r/>
            <w:r>
              <w:rPr>
                <w:sz w:val="19"/>
              </w:rPr>
              <w:t>5.95x</w:t>
            </w:r>
          </w:p>
        </w:tc>
      </w:tr>
    </w:tbl>
    <w:p>
      <w:r>
        <w:rPr>
          <w:b w:val="0"/>
          <w:i w:val="0"/>
          <w:sz w:val="21"/>
        </w:rPr>
        <w:t>The operation is EBITDA-positive from early in the ramp. Combined debt service in Years 1-3 is ~$169,211/yr (SBA $59,692 + the 3-year subordinate bank acquisition loan $109,519): against this, the model clears a global 3-year DSCR of 3.92x - above the 1.25x floor - and strengthens each year (1.79x -&gt; 4.02x -&gt; 5.95x). Coverage is tighter in the ramp years because the bank loan is front-loaded on a 3-year amortization; after Year 3 the bank loan is fully amortized and only the SBA loan remains (~$59,692/yr). The $567,000 opening reserve keeps minimum cash well above the $25,000 floor through the ramp (~$445K trough), with the LOC never drawn.</w:t>
      </w:r>
    </w:p>
    <w:p>
      <w:r>
        <w:br w:type="page"/>
      </w:r>
    </w:p>
    <w:p>
      <w:r>
        <w:rPr>
          <w:b/>
          <w:color w:val="1F3864"/>
          <w:sz w:val="30"/>
        </w:rPr>
        <w:t>02 - Company Description</w:t>
      </w:r>
    </w:p>
    <w:p>
      <w:r>
        <w:rPr>
          <w:b/>
          <w:color w:val="1F3864"/>
          <w:sz w:val="23"/>
        </w:rPr>
        <w:t>2.1 Legal structure</w:t>
      </w:r>
    </w:p>
    <w:p>
      <w:r>
        <w:rPr>
          <w:b w:val="0"/>
          <w:i w:val="0"/>
          <w:sz w:val="21"/>
        </w:rPr>
        <w:t>Tyler Hospice Hold, LLC is a Wyoming LLC (formed 2026; EIN 41-4966640), authorized to do business in Texas. As the borrower and holding entity, it owns 100% of Hickory Hospice LLC - a Texas HCSSA-licensed, Medicare-certified hospice - which operates as Azalea Hospice &amp; Palliative Care. The transaction is a change of ownership (CHOW) of Hickory's existing provider number (purchase of 100% of membership interests), so Azalea runs on a licensed, billing-ready platform from day one - preserving the existing number rather than awaiting a new-provider 855A enrollment, with CHAP/ACHC accreditation transferring in the CHOW. The Company elects S-corporation tax treatment under IRC Section 1361 (IRS Form 2553) for federal income tax purposes (filing Form 1120-S, single class of stock, pro-rata distributions); Hickory Hospice LLC is a disregarded entity (or QSub) of the S-corp.</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Geoff Schackmann (individual)</w:t>
            </w:r>
          </w:p>
        </w:tc>
        <w:tc>
          <w:tcPr>
            <w:tcW w:type="dxa" w:w="1296"/>
          </w:tcPr>
          <w:p>
            <w:r/>
            <w:r>
              <w:rPr>
                <w:sz w:val="19"/>
              </w:rPr>
              <w:t>39.9%</w:t>
            </w:r>
          </w:p>
        </w:tc>
        <w:tc>
          <w:tcPr>
            <w:tcW w:type="dxa" w:w="4896"/>
          </w:tcPr>
          <w:p>
            <w:r/>
            <w:r>
              <w:rPr>
                <w:sz w:val="19"/>
              </w:rPr>
              <w:t>Manager - direct individual owner; 39.9% interest is Arizona community property (spouse Mary Elizabeth Burcham ~19.95% community-property interest, passive, under 20%); Geoff provides the SBA personal guaranty</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Executive Director - Restricted Interest (fully forfeitable; 4.9% time-vested base + 8.4% dual-trigger earn-up)</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(fully forfeitable; 4.9% time-vested base + 8.4% dual-trigger earn-up)</w:t>
            </w:r>
          </w:p>
        </w:tc>
      </w:tr>
      <w:tr>
        <w:tc>
          <w:tcPr>
            <w:tcW w:type="dxa" w:w="3168"/>
          </w:tcPr>
          <w:p>
            <w:r/>
            <w:r>
              <w:rPr>
                <w:sz w:val="19"/>
              </w:rPr>
              <w:t>Bradley G. Woodard</w:t>
            </w:r>
          </w:p>
        </w:tc>
        <w:tc>
          <w:tcPr>
            <w:tcW w:type="dxa" w:w="1296"/>
          </w:tcPr>
          <w:p>
            <w:r/>
            <w:r>
              <w:rPr>
                <w:sz w:val="19"/>
              </w:rPr>
              <w:t>13.3%</w:t>
            </w:r>
          </w:p>
        </w:tc>
        <w:tc>
          <w:tcPr>
            <w:tcW w:type="dxa" w:w="4896"/>
          </w:tcPr>
          <w:p>
            <w:r/>
            <w:r>
              <w:rPr>
                <w:sz w:val="19"/>
              </w:rPr>
              <w:t>Director of Sales - Restricted Interest (fully forfeitable; 4.9% time-vested base + 8.4% dual-trigger earn-up)</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r>
        <w:rPr>
          <w:b/>
          <w:color w:val="1F3864"/>
          <w:sz w:val="23"/>
        </w:rPr>
        <w:t>Sources of capital &amp; SBA guaranty</w:t>
      </w:r>
    </w:p>
    <w:p>
      <w:r>
        <w:rPr>
          <w:b w:val="0"/>
          <w:i w:val="0"/>
          <w:sz w:val="21"/>
        </w:rPr>
        <w:t>The $945,000 project is funded by the $450,000 SBA 7(a) loan (startup + working capital), a $300,000 bank acquisition term loan, and a $195,000 cash equity injection contributed by investor James E. Bullard in exchange for a direct 19.5% membership interest. The $300,000 Hickory acquisition is financed by the 3-year bank term loan (6%) from a bank the investor uses, which the investor personally guarantees and which is subordinate to the SBA loan (piggyback financing requiring an intercreditor agreement and SBA approval); the business therefore carries two debts after close. The injection equals 20.6% of total project cost ($180,000 designated as the SBA equity injection, $15,000 additional working capital) - above the 10% minimum required under SBA SOP 50 10 8. Mr. Bullard's funds are his own savings (non-borrowed), verified by his bank statements; $100,000 was wired on May 7, 2026 and the balance follows on a committed schedule. Because he holds less than 20% and exercises no operational control, no SBA personal guaranty is required of him (13 CFR 120.160); he guarantees only the separate bank acquisition loan. The SBA 7(a) loan is guaranteed by Geoff Schackmann (personal guaranty, controlling Manager and sole 20%+ owner - direct individual 39.9% owner) and by Hickory Hospice LLC (corporate guaranty plus a lien on its assets and receivables, as the operating subsidiary).</w:t>
      </w:r>
    </w:p>
    <w:p>
      <w:r>
        <w:rPr>
          <w:b/>
          <w:color w:val="1F3864"/>
          <w:sz w:val="23"/>
        </w:rPr>
        <w:t>2.3 Acquired platform &amp; validated economics</w:t>
      </w:r>
    </w:p>
    <w:p>
      <w:r>
        <w:rPr>
          <w:b w:val="0"/>
          <w:i w:val="0"/>
          <w:sz w:val="21"/>
        </w:rPr>
        <w:t>Rather than projecting speculative new-admit growth, the financial model is benchmarked to actual operating results - a proven ~22 ADC / ~$118K-net-per-month book (Apr-Jun 2025 actuals) - so the per-diem rate, patient-day costs, and census all reconcile to real collections. Because the CHOW preserves the provider number, the patient panel, care team, and referral relationships carry over, supporting revenue continuity from day one.</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adjusted by the Tyler CBSA 46340 wage index (0.88) on the 0.68 labor share. With 40% of patient-days in Tier 1, the blended gross rate is $185.29/PD; net of 2% sequestration and 0.15% write-offs, the blended net rate is $181/PD - validated against actual Tyler-market collections and escalated 2.5%/year (CMS hospice rates have risen every year since 2010).</w:t>
      </w:r>
    </w:p>
    <w:p>
      <w:r>
        <w:rPr>
          <w:b/>
          <w:color w:val="1F3864"/>
          <w:sz w:val="23"/>
        </w:rPr>
        <w:t>3.2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3.3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3.4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Tier 1 facilities (highest-census SNFs and ALFs in the Tyler metro) receive weekly in-person visits from the Director of Sales and clinical liaison; Tier 2 facilities receive bi-weekly or monthly touchpoints by census potential.</w:t>
      </w:r>
    </w:p>
    <w:p>
      <w:r>
        <w:rPr>
          <w:b/>
          <w:color w:val="1F3864"/>
          <w:sz w:val="23"/>
        </w:rPr>
        <w:t>3.5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Competitor</w:t>
            </w:r>
          </w:p>
        </w:tc>
        <w:tc>
          <w:tcPr>
            <w:tcW w:type="dxa" w:w="2016"/>
          </w:tcPr>
          <w:p>
            <w:r/>
            <w:r>
              <w:rPr>
                <w:b/>
                <w:sz w:val="19"/>
              </w:rPr>
              <w:t>Type</w:t>
            </w:r>
          </w:p>
        </w:tc>
        <w:tc>
          <w:tcPr>
            <w:tcW w:type="dxa" w:w="4320"/>
          </w:tcPr>
          <w:p>
            <w:r/>
            <w:r>
              <w:rPr>
                <w:b/>
                <w:sz w:val="19"/>
              </w:rPr>
              <w:t>Weaknesses vs. Azalea</w:t>
            </w:r>
          </w:p>
        </w:tc>
      </w:tr>
      <w:tr>
        <w:tc>
          <w:tcPr>
            <w:tcW w:type="dxa" w:w="3168"/>
          </w:tcPr>
          <w:p>
            <w:r/>
            <w:r>
              <w:rPr>
                <w:sz w:val="19"/>
              </w:rPr>
              <w:t>Heart to Heart Hospice - Tyler</w:t>
            </w:r>
          </w:p>
        </w:tc>
        <w:tc>
          <w:tcPr>
            <w:tcW w:type="dxa" w:w="2016"/>
          </w:tcPr>
          <w:p>
            <w:r/>
            <w:r>
              <w:rPr>
                <w:sz w:val="19"/>
              </w:rPr>
              <w:t>Regional (TX)</w:t>
            </w:r>
          </w:p>
        </w:tc>
        <w:tc>
          <w:tcPr>
            <w:tcW w:type="dxa" w:w="4320"/>
          </w:tcPr>
          <w:p>
            <w:r/>
            <w:r>
              <w:rPr>
                <w:sz w:val="19"/>
              </w:rPr>
              <w:t>Standard model; no faith-based differentiation</w:t>
            </w:r>
          </w:p>
        </w:tc>
      </w:tr>
      <w:tr>
        <w:tc>
          <w:tcPr>
            <w:tcW w:type="dxa" w:w="3168"/>
          </w:tcPr>
          <w:p>
            <w:r/>
            <w:r>
              <w:rPr>
                <w:sz w:val="19"/>
              </w:rPr>
              <w:t>VITAS Healthcare - Tyler</w:t>
            </w:r>
          </w:p>
        </w:tc>
        <w:tc>
          <w:tcPr>
            <w:tcW w:type="dxa" w:w="2016"/>
          </w:tcPr>
          <w:p>
            <w:r/>
            <w:r>
              <w:rPr>
                <w:sz w:val="19"/>
              </w:rPr>
              <w:t>National</w:t>
            </w:r>
          </w:p>
        </w:tc>
        <w:tc>
          <w:tcPr>
            <w:tcW w:type="dxa" w:w="4320"/>
          </w:tcPr>
          <w:p>
            <w:r/>
            <w:r>
              <w:rPr>
                <w:sz w:val="19"/>
              </w:rPr>
              <w:t>Bureaucratic; national protocols; less personal</w:t>
            </w:r>
          </w:p>
        </w:tc>
      </w:tr>
      <w:tr>
        <w:tc>
          <w:tcPr>
            <w:tcW w:type="dxa" w:w="3168"/>
          </w:tcPr>
          <w:p>
            <w:r/>
            <w:r>
              <w:rPr>
                <w:sz w:val="19"/>
              </w:rPr>
              <w:t>Hospice of East Texas</w:t>
            </w:r>
          </w:p>
        </w:tc>
        <w:tc>
          <w:tcPr>
            <w:tcW w:type="dxa" w:w="2016"/>
          </w:tcPr>
          <w:p>
            <w:r/>
            <w:r>
              <w:rPr>
                <w:sz w:val="19"/>
              </w:rPr>
              <w:t>Local nonprofit</w:t>
            </w:r>
          </w:p>
        </w:tc>
        <w:tc>
          <w:tcPr>
            <w:tcW w:type="dxa" w:w="4320"/>
          </w:tcPr>
          <w:p>
            <w:r/>
            <w:r>
              <w:rPr>
                <w:sz w:val="19"/>
              </w:rPr>
              <w:t>Limited marketing budget; slower growth</w:t>
            </w:r>
          </w:p>
        </w:tc>
      </w:tr>
      <w:tr>
        <w:tc>
          <w:tcPr>
            <w:tcW w:type="dxa" w:w="3168"/>
          </w:tcPr>
          <w:p>
            <w:r/>
            <w:r>
              <w:rPr>
                <w:sz w:val="19"/>
              </w:rPr>
              <w:t>CHRISTUS Hospice</w:t>
            </w:r>
          </w:p>
        </w:tc>
        <w:tc>
          <w:tcPr>
            <w:tcW w:type="dxa" w:w="2016"/>
          </w:tcPr>
          <w:p>
            <w:r/>
            <w:r>
              <w:rPr>
                <w:sz w:val="19"/>
              </w:rPr>
              <w:t>Health system</w:t>
            </w:r>
          </w:p>
        </w:tc>
        <w:tc>
          <w:tcPr>
            <w:tcW w:type="dxa" w:w="4320"/>
          </w:tcPr>
          <w:p>
            <w:r/>
            <w:r>
              <w:rPr>
                <w:sz w:val="19"/>
              </w:rPr>
              <w:t>System constraints; less flexibility</w:t>
            </w:r>
          </w:p>
        </w:tc>
      </w:tr>
      <w:tr>
        <w:tc>
          <w:tcPr>
            <w:tcW w:type="dxa" w:w="3168"/>
          </w:tcPr>
          <w:p>
            <w:r/>
            <w:r>
              <w:rPr>
                <w:sz w:val="19"/>
              </w:rPr>
              <w:t>Enhabit Hospice - Tyler</w:t>
            </w:r>
          </w:p>
        </w:tc>
        <w:tc>
          <w:tcPr>
            <w:tcW w:type="dxa" w:w="2016"/>
          </w:tcPr>
          <w:p>
            <w:r/>
            <w:r>
              <w:rPr>
                <w:sz w:val="19"/>
              </w:rPr>
              <w:t>National (public)</w:t>
            </w:r>
          </w:p>
        </w:tc>
        <w:tc>
          <w:tcPr>
            <w:tcW w:type="dxa" w:w="4320"/>
          </w:tcPr>
          <w:p>
            <w:r/>
            <w:r>
              <w:rPr>
                <w:sz w:val="19"/>
              </w:rPr>
              <w:t>Fragmented sales effort; less local focus</w:t>
            </w:r>
          </w:p>
        </w:tc>
      </w:tr>
      <w:tr>
        <w:tc>
          <w:tcPr>
            <w:tcW w:type="dxa" w:w="3168"/>
          </w:tcPr>
          <w:p>
            <w:r/>
            <w:r>
              <w:rPr>
                <w:sz w:val="19"/>
              </w:rPr>
              <w:t>Traditions Health - Tyler</w:t>
            </w:r>
          </w:p>
        </w:tc>
        <w:tc>
          <w:tcPr>
            <w:tcW w:type="dxa" w:w="2016"/>
          </w:tcPr>
          <w:p>
            <w:r/>
            <w:r>
              <w:rPr>
                <w:sz w:val="19"/>
              </w:rPr>
              <w:t>National</w:t>
            </w:r>
          </w:p>
        </w:tc>
        <w:tc>
          <w:tcPr>
            <w:tcW w:type="dxa" w:w="4320"/>
          </w:tcPr>
          <w:p>
            <w:r/>
            <w:r>
              <w:rPr>
                <w:sz w:val="19"/>
              </w:rPr>
              <w:t>Newer entrant; relationships unproven</w:t>
            </w:r>
          </w:p>
        </w:tc>
      </w:tr>
      <w:tr>
        <w:tc>
          <w:tcPr>
            <w:tcW w:type="dxa" w:w="3168"/>
          </w:tcPr>
          <w:p>
            <w:r/>
            <w:r>
              <w:rPr>
                <w:sz w:val="19"/>
              </w:rPr>
              <w:t>Kindred / CenterWell</w:t>
            </w:r>
          </w:p>
        </w:tc>
        <w:tc>
          <w:tcPr>
            <w:tcW w:type="dxa" w:w="2016"/>
          </w:tcPr>
          <w:p>
            <w:r/>
            <w:r>
              <w:rPr>
                <w:sz w:val="19"/>
              </w:rPr>
              <w:t>National (Humana)</w:t>
            </w:r>
          </w:p>
        </w:tc>
        <w:tc>
          <w:tcPr>
            <w:tcW w:type="dxa" w:w="4320"/>
          </w:tcPr>
          <w:p>
            <w:r/>
            <w:r>
              <w:rPr>
                <w:sz w:val="19"/>
              </w:rPr>
              <w:t>Limited to Humana MA members</w:t>
            </w:r>
          </w:p>
        </w:tc>
      </w:tr>
      <w:tr>
        <w:tc>
          <w:tcPr>
            <w:tcW w:type="dxa" w:w="3168"/>
          </w:tcPr>
          <w:p>
            <w:r/>
            <w:r>
              <w:rPr>
                <w:sz w:val="19"/>
              </w:rPr>
              <w:t>Harbor Hospice - East TX</w:t>
            </w:r>
          </w:p>
        </w:tc>
        <w:tc>
          <w:tcPr>
            <w:tcW w:type="dxa" w:w="2016"/>
          </w:tcPr>
          <w:p>
            <w:r/>
            <w:r>
              <w:rPr>
                <w:sz w:val="19"/>
              </w:rPr>
              <w:t>Regional</w:t>
            </w:r>
          </w:p>
        </w:tc>
        <w:tc>
          <w:tcPr>
            <w:tcW w:type="dxa" w:w="4320"/>
          </w:tcPr>
          <w:p>
            <w:r/>
            <w:r>
              <w:rPr>
                <w:sz w:val="19"/>
              </w:rPr>
              <w:t>Limited capacity; smaller sales team</w:t>
            </w:r>
          </w:p>
        </w:tc>
      </w:tr>
    </w:tbl>
    <w:p>
      <w:r>
        <w:rPr>
          <w:b/>
          <w:color w:val="1F3864"/>
          <w:sz w:val="23"/>
        </w:rPr>
        <w:t>Azalea's differentiation</w:t>
      </w:r>
    </w:p>
    <w:p>
      <w:r>
        <w:rPr>
          <w:b w:val="0"/>
          <w:i w:val="0"/>
          <w:sz w:val="21"/>
        </w:rPr>
        <w:t xml:space="preserve">  - Validated local economics - modeled on a proven ~22 ADC Tyler book and an experienced team,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rPr>
          <w:b w:val="0"/>
          <w:i w:val="0"/>
          <w:sz w:val="21"/>
        </w:rPr>
        <w:t xml:space="preserve">  - MVI-certified in The Perfect Visit and Perfect Phones - national co-marketing exposure that local and regional competitors lack (see 4.1)</w:t>
      </w:r>
    </w:p>
    <w:p>
      <w:r>
        <w:rPr>
          <w:b/>
          <w:color w:val="1F3864"/>
          <w:sz w:val="23"/>
        </w:rPr>
        <w:t>4.1 MVI ‘Perfect Visit’ certification &amp; national co-marketing (strategic upside)</w:t>
      </w:r>
    </w:p>
    <w:p>
      <w:r>
        <w:rPr>
          <w:b w:val="0"/>
          <w:i w:val="0"/>
          <w:sz w:val="21"/>
        </w:rPr>
        <w:t>Azalea is pursuing certification by MultiView Incorporated (MVI) in The Perfect Visit and Perfect Phones - structured programs that certify an agency's patient-visit quality and its intake and telephone responsiveness against a defined standard. MVI, led by Andrew Reid, is launching a national, multi-platform advertising campaign that promotes hospice agencies certified in The Perfect Visit. As a certified agency, Azalea would be featured to a national audience - the kind of brand exposure normally reserved for the largest national operators with multi-million-dollar ad budgets, here made accessible to a local independent through the certification.</w:t>
      </w:r>
    </w:p>
    <w:p>
      <w:r>
        <w:rPr>
          <w:b w:val="0"/>
          <w:i w:val="0"/>
          <w:sz w:val="21"/>
        </w:rPr>
        <w:t>Azalea will develop an in-tandem local marketing plan timed to the national campaign - capturing the awareness it generates and converting it into local inquiries and referrals across the Tyler service area. The pairing of a national demand-generation engine with a focused local conversion plan is a differentiator no local competitor currently has, and it creates a credible path to take market share from the regional and national incumbents listed above.</w:t>
      </w:r>
    </w:p>
    <w:p>
      <w:r>
        <w:rPr>
          <w:b w:val="0"/>
          <w:i/>
          <w:sz w:val="19"/>
        </w:rPr>
        <w:t>Underwriting note: this is incremental upside. The financial projections in Section 11 remain conservative and assume no lift from the MVI certification or the national campaign; debt service is covered on the base-case census path without it. The certification represents potential growth above plan, not a dependency.</w:t>
      </w:r>
    </w:p>
    <w:p>
      <w:r>
        <w:br w:type="page"/>
      </w:r>
    </w:p>
    <w:p>
      <w:r>
        <w:rPr>
          <w:b/>
          <w:color w:val="1F3864"/>
          <w:sz w:val="30"/>
        </w:rPr>
        <w:t>05 - SWOT Analysis</w:t>
      </w:r>
    </w:p>
    <w:p>
      <w:r>
        <w:rPr>
          <w:b/>
          <w:color w:val="1F3864"/>
          <w:sz w:val="23"/>
        </w:rPr>
        <w:t>Strengths</w:t>
      </w:r>
    </w:p>
    <w:p>
      <w:r>
        <w:rPr>
          <w:b w:val="0"/>
          <w:i w:val="0"/>
          <w:sz w:val="21"/>
        </w:rPr>
        <w:t xml:space="preserve">  - Modeled on validated Tyler-market economics (~22 ADC, ~$118K/mo) benchmarked to actual local collections</w:t>
      </w:r>
    </w:p>
    <w:p>
      <w:r>
        <w:rPr>
          <w:b w:val="0"/>
          <w:i w:val="0"/>
          <w:sz w:val="21"/>
        </w:rPr>
        <w:t xml:space="preserve">  - Experienced clinical &amp; admin team already in seat, with deep East-Texas referral relationships</w:t>
      </w:r>
    </w:p>
    <w:p>
      <w:r>
        <w:rPr>
          <w:b w:val="0"/>
          <w:i w:val="0"/>
          <w:sz w:val="21"/>
        </w:rPr>
        <w:t xml:space="preserve">  - Acquired Medicare provider number (CHOW) - billing-ready from day one, no new-provider enrollment lag</w:t>
      </w:r>
    </w:p>
    <w:p>
      <w:r>
        <w:rPr>
          <w:b w:val="0"/>
          <w:i w:val="0"/>
          <w:sz w:val="21"/>
        </w:rPr>
        <w:t xml:space="preserve">  - Capital cushion - $567K opening cash reserve; LOC never drawn (min cash ~$445K through the ramp)</w:t>
      </w:r>
    </w:p>
    <w:p>
      <w:r>
        <w:rPr>
          <w:b w:val="0"/>
          <w:i w:val="0"/>
          <w:sz w:val="21"/>
        </w:rPr>
        <w:t xml:space="preserve">  - DSCR rises 1.79x -&gt; 5.95x across the plan (combined SBA + bank debt); the front-loaded bank loan retires after Year 3; substantial $195K cash equity injection (20.6% of project)</w:t>
      </w:r>
    </w:p>
    <w:p>
      <w:r>
        <w:rPr>
          <w:b w:val="0"/>
          <w:i w:val="0"/>
          <w:sz w:val="21"/>
        </w:rPr>
        <w:t xml:space="preserve">  - Strong ownership alignment - operators hold equity (13.3% each); experienced multi-hospice Manager</w:t>
      </w:r>
    </w:p>
    <w:p>
      <w:r>
        <w:rPr>
          <w:b/>
          <w:color w:val="1F3864"/>
          <w:sz w:val="23"/>
        </w:rPr>
        <w:t>Weaknesses</w:t>
      </w:r>
    </w:p>
    <w:p>
      <w:r>
        <w:rPr>
          <w:b w:val="0"/>
          <w:i w:val="0"/>
          <w:sz w:val="21"/>
        </w:rPr>
        <w:t xml:space="preserve">  - Newco borrower with no operating history of its own (mitigated by the acquired agency's actuals and an experienced operator)</w:t>
      </w:r>
    </w:p>
    <w:p>
      <w:r>
        <w:rPr>
          <w:b w:val="0"/>
          <w:i w:val="0"/>
          <w:sz w:val="21"/>
        </w:rPr>
        <w:t xml:space="preserve">  - Revenue depends on converting the team's established relationships into admissions during ramp</w:t>
      </w:r>
    </w:p>
    <w:p>
      <w:r>
        <w:rPr>
          <w:b w:val="0"/>
          <w:i w:val="0"/>
          <w:sz w:val="21"/>
        </w:rPr>
        <w:t xml:space="preserve">  - Single-office, single-market concentration</w:t>
      </w:r>
    </w:p>
    <w:p>
      <w:r>
        <w:rPr>
          <w:b w:val="0"/>
          <w:i w:val="0"/>
          <w:sz w:val="21"/>
        </w:rPr>
        <w:t xml:space="preserve">  - Several go-forward cost adds (own lease, Medical Directors, benefits, marketing) not in the benchmarked actuals</w:t>
      </w:r>
    </w:p>
    <w:p>
      <w:r>
        <w:rPr>
          <w:b w:val="0"/>
          <w:i w:val="0"/>
          <w:sz w:val="21"/>
        </w:rPr>
        <w:t xml:space="preserve">  - Sensitivity to a sustained census shortfall (see Section 11.7 and the DSCR Sensitivity memo)</w:t>
      </w:r>
    </w:p>
    <w:p>
      <w:r>
        <w:rPr>
          <w:b w:val="0"/>
          <w:i w:val="0"/>
          <w:sz w:val="21"/>
        </w:rPr>
        <w:t xml:space="preserve">  - Manager's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~54 ADC by Year 3 from the team's referral pipeline; upside path to ~60 ADC</w:t>
      </w:r>
    </w:p>
    <w:p>
      <w:r>
        <w:rPr>
          <w:b w:val="0"/>
          <w:i w:val="0"/>
          <w:sz w:val="21"/>
        </w:rPr>
        <w:t xml:space="preserve">  - 70+ SNF/ALF facilities, many underserved by incumbents</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MVI 'Perfect Visit' / 'Perfect Phones' certification + Andrew Reid's national multi-platform campaign - national lead exposure for a local independent (upside, not in the base case)</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Front-loaded ramp costs and front-loaded 3-year bank debt service before census stabilizes; mitigated by the $567K reserve (LOC undrawn) and the bank loan's retirement after Year 3</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Director of Sales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The model funds $3,000/mo ($36,000/yr) of marketing within fixed G&amp;A, sustained across all three years.</w:t>
      </w:r>
    </w:p>
    <w:p>
      <w:r>
        <w:rPr>
          <w:b w:val="0"/>
          <w:i w:val="0"/>
          <w:sz w:val="21"/>
        </w:rPr>
        <w:t>National co-marketing (upside): as an agency pursuing MVI 'Perfect Visit' and 'Perfect Phones' certification, Azalea will run an in-tandem local campaign timed to MVI's national, multi-platform advertising of certified hospice agencies (led by Andrew Reid) - local landing pages, geo-targeted digital, and referral-source outreach engineered to convert national awareness into Tyler-area leads. This sits on top of the budgeted spend above and is treated as upside; the base-case projections do not rely on it.</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592"/>
          </w:tcPr>
          <w:p>
            <w:r/>
            <w:r>
              <w:rPr>
                <w:b/>
                <w:sz w:val="19"/>
              </w:rPr>
              <w:t>Period</w:t>
            </w:r>
          </w:p>
        </w:tc>
        <w:tc>
          <w:tcPr>
            <w:tcW w:type="dxa" w:w="2304"/>
          </w:tcPr>
          <w:p>
            <w:r/>
            <w:r>
              <w:rPr>
                <w:b/>
                <w:sz w:val="19"/>
              </w:rPr>
              <w:t>Base ADC</w:t>
            </w:r>
          </w:p>
        </w:tc>
        <w:tc>
          <w:tcPr>
            <w:tcW w:type="dxa" w:w="4608"/>
          </w:tcPr>
          <w:p>
            <w:r/>
            <w:r>
              <w:rPr>
                <w:b/>
                <w:sz w:val="19"/>
              </w:rPr>
              <w:t>Primary channel</w:t>
            </w:r>
          </w:p>
        </w:tc>
      </w:tr>
      <w:tr>
        <w:tc>
          <w:tcPr>
            <w:tcW w:type="dxa" w:w="2592"/>
          </w:tcPr>
          <w:p>
            <w:r/>
            <w:r>
              <w:rPr>
                <w:sz w:val="19"/>
              </w:rPr>
              <w:t>Months 1-3 (launch)</w:t>
            </w:r>
          </w:p>
        </w:tc>
        <w:tc>
          <w:tcPr>
            <w:tcW w:type="dxa" w:w="2304"/>
          </w:tcPr>
          <w:p>
            <w:r/>
            <w:r>
              <w:rPr>
                <w:sz w:val="19"/>
              </w:rPr>
              <w:t>12 -&gt; 22</w:t>
            </w:r>
          </w:p>
        </w:tc>
        <w:tc>
          <w:tcPr>
            <w:tcW w:type="dxa" w:w="4608"/>
          </w:tcPr>
          <w:p>
            <w:r/>
            <w:r>
              <w:rPr>
                <w:sz w:val="19"/>
              </w:rPr>
              <w:t>Panel transition + team activation</w:t>
            </w:r>
          </w:p>
        </w:tc>
      </w:tr>
      <w:tr>
        <w:tc>
          <w:tcPr>
            <w:tcW w:type="dxa" w:w="2592"/>
          </w:tcPr>
          <w:p>
            <w:r/>
            <w:r>
              <w:rPr>
                <w:sz w:val="19"/>
              </w:rPr>
              <w:t>Months 4-12</w:t>
            </w:r>
          </w:p>
        </w:tc>
        <w:tc>
          <w:tcPr>
            <w:tcW w:type="dxa" w:w="2304"/>
          </w:tcPr>
          <w:p>
            <w:r/>
            <w:r>
              <w:rPr>
                <w:sz w:val="19"/>
              </w:rPr>
              <w:t>22 -&gt; 24</w:t>
            </w:r>
          </w:p>
        </w:tc>
        <w:tc>
          <w:tcPr>
            <w:tcW w:type="dxa" w:w="4608"/>
          </w:tcPr>
          <w:p>
            <w:r/>
            <w:r>
              <w:rPr>
                <w:sz w:val="19"/>
              </w:rPr>
              <w:t>Hospital + SNF/ALF</w:t>
            </w:r>
          </w:p>
        </w:tc>
      </w:tr>
      <w:tr>
        <w:tc>
          <w:tcPr>
            <w:tcW w:type="dxa" w:w="2592"/>
          </w:tcPr>
          <w:p>
            <w:r/>
            <w:r>
              <w:rPr>
                <w:sz w:val="19"/>
              </w:rPr>
              <w:t>Year 2</w:t>
            </w:r>
          </w:p>
        </w:tc>
        <w:tc>
          <w:tcPr>
            <w:tcW w:type="dxa" w:w="2304"/>
          </w:tcPr>
          <w:p>
            <w:r/>
            <w:r>
              <w:rPr>
                <w:sz w:val="19"/>
              </w:rPr>
              <w:t>~40 avg (30 -&gt; 50)</w:t>
            </w:r>
          </w:p>
        </w:tc>
        <w:tc>
          <w:tcPr>
            <w:tcW w:type="dxa" w:w="4608"/>
          </w:tcPr>
          <w:p>
            <w:r/>
            <w:r>
              <w:rPr>
                <w:sz w:val="19"/>
              </w:rPr>
              <w:t>All channels + faith</w:t>
            </w:r>
          </w:p>
        </w:tc>
      </w:tr>
      <w:tr>
        <w:tc>
          <w:tcPr>
            <w:tcW w:type="dxa" w:w="2592"/>
          </w:tcPr>
          <w:p>
            <w:r/>
            <w:r>
              <w:rPr>
                <w:sz w:val="19"/>
              </w:rPr>
              <w:t>Year 3</w:t>
            </w:r>
          </w:p>
        </w:tc>
        <w:tc>
          <w:tcPr>
            <w:tcW w:type="dxa" w:w="2304"/>
          </w:tcPr>
          <w:p>
            <w:r/>
            <w:r>
              <w:rPr>
                <w:sz w:val="19"/>
              </w:rPr>
              <w:t>~54 avg (51 -&gt; 56)</w:t>
            </w:r>
          </w:p>
        </w:tc>
        <w:tc>
          <w:tcPr>
            <w:tcW w:type="dxa" w:w="4608"/>
          </w:tcPr>
          <w:p>
            <w:r/>
            <w:r>
              <w:rPr>
                <w:sz w:val="19"/>
              </w:rPr>
              <w:t>All channels + organic</w:t>
            </w:r>
          </w:p>
        </w:tc>
      </w:tr>
    </w:tbl>
    <w:p>
      <w:r>
        <w:rPr>
          <w:b w:val="0"/>
          <w:i w:val="0"/>
          <w:sz w:val="21"/>
        </w:rPr>
        <w:t>All DSCR and repayment figures in Section 11 use this conservative base path. An upside path reaches ~60 ADC by Year 3 and is presented as scenario sensitivity.</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Employer burden of 18.27% applies to W-2 wages; health insurance is $550/employee/mo; Medical Directors are 1099 contractors. The Year-1 roster is sized to the opening ~22 ADC within hospice staffing ratios and includes the Executive Director, Director of Nursing, Director of Sales, RN case managers, a CNA/hospice aide, a Director of Business Development, an Office Manager, and a 1099 Medical Director.</w:t>
      </w:r>
    </w:p>
    <w:p>
      <w:r>
        <w:rPr>
          <w:b/>
          <w:color w:val="1F3864"/>
          <w:sz w:val="23"/>
        </w:rPr>
        <w:t>7.3 Capacity-driven hiring (Years 2-3)</w:t>
      </w:r>
    </w:p>
    <w:p>
      <w:r>
        <w:rPr>
          <w:b w:val="0"/>
          <w:i w:val="0"/>
          <w:sz w:val="21"/>
        </w:rPr>
        <w:t>As census grows toward ~54 ADC, the roster scales on census triggers (RN caseload 1:12; aide 1:10), converting PRN roles to salaried and adding compliance, intake, and volunteer-coordinator support. Second through sixth RN case managers and CNAs load in as ADC crosses their thresholds (Months 13-34); FT social worker, LVN, and chaplain convert from PRN (Months 14-18); a Quality/Compliance Manager, Intake Coordinator, and Volunteer Coordinator are added (Months 16-26); and a second Medical Director is added at Month 22. This is the fuller, more defensible direct-care build reflected in the current operating model.</w:t>
      </w:r>
    </w:p>
    <w:p>
      <w:r>
        <w:rPr>
          <w:b/>
          <w:color w:val="1F3864"/>
          <w:sz w:val="23"/>
        </w:rPr>
        <w:t>7.4 Facility &amp; technology</w:t>
      </w:r>
    </w:p>
    <w:p>
      <w:r>
        <w:rPr>
          <w:b w:val="0"/>
          <w:i w:val="0"/>
          <w:sz w:val="21"/>
        </w:rPr>
        <w:t>Principal office in the Tyler, TX area at $3,000/mo (a go-forward lease assumption). Hours M-F 8-5 with 24/7/365 on-call; ~45-mile service radius. EMR, PCR, and outsourced billing (1.5% of gross)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operating model as expenses (no compensation is omitted, per SBA requirements).</w:t>
      </w:r>
    </w:p>
    <w:p>
      <w:r>
        <w:rPr>
          <w:b/>
          <w:color w:val="1F3864"/>
          <w:sz w:val="23"/>
        </w:rPr>
        <w:t>8.1 Ownership &amp; reporting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456"/>
          </w:tcPr>
          <w:p>
            <w:r/>
            <w:r>
              <w:rPr>
                <w:b/>
                <w:sz w:val="19"/>
              </w:rPr>
              <w:t>Entity / person</w:t>
            </w:r>
          </w:p>
        </w:tc>
        <w:tc>
          <w:tcPr>
            <w:tcW w:type="dxa" w:w="2736"/>
          </w:tcPr>
          <w:p>
            <w:r/>
            <w:r>
              <w:rPr>
                <w:b/>
                <w:sz w:val="19"/>
              </w:rPr>
              <w:t>Role</w:t>
            </w:r>
          </w:p>
        </w:tc>
        <w:tc>
          <w:tcPr>
            <w:tcW w:type="dxa" w:w="1296"/>
          </w:tcPr>
          <w:p>
            <w:r/>
            <w:r>
              <w:rPr>
                <w:b/>
                <w:sz w:val="19"/>
              </w:rPr>
              <w:t>Interest</w:t>
            </w:r>
          </w:p>
        </w:tc>
        <w:tc>
          <w:tcPr>
            <w:tcW w:type="dxa" w:w="2304"/>
          </w:tcPr>
          <w:p>
            <w:r/>
            <w:r>
              <w:rPr>
                <w:b/>
                <w:sz w:val="19"/>
              </w:rPr>
              <w:t>Reports to</w:t>
            </w:r>
          </w:p>
        </w:tc>
      </w:tr>
      <w:tr>
        <w:tc>
          <w:tcPr>
            <w:tcW w:type="dxa" w:w="3456"/>
          </w:tcPr>
          <w:p>
            <w:r/>
            <w:r>
              <w:rPr>
                <w:sz w:val="19"/>
              </w:rPr>
              <w:t>Geoff Schackmann</w:t>
            </w:r>
          </w:p>
        </w:tc>
        <w:tc>
          <w:tcPr>
            <w:tcW w:type="dxa" w:w="2736"/>
          </w:tcPr>
          <w:p>
            <w:r/>
            <w:r>
              <w:rPr>
                <w:sz w:val="19"/>
              </w:rPr>
              <w:t>Manager (direct individual owner)</w:t>
            </w:r>
          </w:p>
        </w:tc>
        <w:tc>
          <w:tcPr>
            <w:tcW w:type="dxa" w:w="1296"/>
          </w:tcPr>
          <w:p>
            <w:r/>
            <w:r>
              <w:rPr>
                <w:sz w:val="19"/>
              </w:rPr>
              <w:t>39.9%</w:t>
            </w:r>
          </w:p>
        </w:tc>
        <w:tc>
          <w:tcPr>
            <w:tcW w:type="dxa" w:w="2304"/>
          </w:tcPr>
          <w:p>
            <w:r/>
            <w:r>
              <w:rPr>
                <w:sz w:val="19"/>
              </w:rPr>
              <w:t>-</w:t>
            </w:r>
          </w:p>
        </w:tc>
      </w:tr>
      <w:tr>
        <w:tc>
          <w:tcPr>
            <w:tcW w:type="dxa" w:w="3456"/>
          </w:tcPr>
          <w:p>
            <w:r/>
            <w:r>
              <w:rPr>
                <w:sz w:val="19"/>
              </w:rPr>
              <w:t>Silas R. Shelton</w:t>
            </w:r>
          </w:p>
        </w:tc>
        <w:tc>
          <w:tcPr>
            <w:tcW w:type="dxa" w:w="2736"/>
          </w:tcPr>
          <w:p>
            <w:r/>
            <w:r>
              <w:rPr>
                <w:sz w:val="19"/>
              </w:rPr>
              <w:t>Executive Director</w:t>
            </w:r>
          </w:p>
        </w:tc>
        <w:tc>
          <w:tcPr>
            <w:tcW w:type="dxa" w:w="1296"/>
          </w:tcPr>
          <w:p>
            <w:r/>
            <w:r>
              <w:rPr>
                <w:sz w:val="19"/>
              </w:rPr>
              <w:t>13.3%</w:t>
            </w:r>
          </w:p>
        </w:tc>
        <w:tc>
          <w:tcPr>
            <w:tcW w:type="dxa" w:w="2304"/>
          </w:tcPr>
          <w:p>
            <w:r/>
            <w:r>
              <w:rPr>
                <w:sz w:val="19"/>
              </w:rPr>
              <w:t>Manager</w:t>
            </w:r>
          </w:p>
        </w:tc>
      </w:tr>
      <w:tr>
        <w:tc>
          <w:tcPr>
            <w:tcW w:type="dxa" w:w="3456"/>
          </w:tcPr>
          <w:p>
            <w:r/>
            <w:r>
              <w:rPr>
                <w:sz w:val="19"/>
              </w:rPr>
              <w:t>Dana L. Davenport</w:t>
            </w:r>
          </w:p>
        </w:tc>
        <w:tc>
          <w:tcPr>
            <w:tcW w:type="dxa" w:w="2736"/>
          </w:tcPr>
          <w:p>
            <w:r/>
            <w:r>
              <w:rPr>
                <w:sz w:val="19"/>
              </w:rPr>
              <w:t>Director of Nursing</w:t>
            </w:r>
          </w:p>
        </w:tc>
        <w:tc>
          <w:tcPr>
            <w:tcW w:type="dxa" w:w="1296"/>
          </w:tcPr>
          <w:p>
            <w:r/>
            <w:r>
              <w:rPr>
                <w:sz w:val="19"/>
              </w:rPr>
              <w:t>13.3%</w:t>
            </w:r>
          </w:p>
        </w:tc>
        <w:tc>
          <w:tcPr>
            <w:tcW w:type="dxa" w:w="2304"/>
          </w:tcPr>
          <w:p>
            <w:r/>
            <w:r>
              <w:rPr>
                <w:sz w:val="19"/>
              </w:rPr>
              <w:t>Executive Director</w:t>
            </w:r>
          </w:p>
        </w:tc>
      </w:tr>
      <w:tr>
        <w:tc>
          <w:tcPr>
            <w:tcW w:type="dxa" w:w="3456"/>
          </w:tcPr>
          <w:p>
            <w:r/>
            <w:r>
              <w:rPr>
                <w:sz w:val="19"/>
              </w:rPr>
              <w:t>Bradley G. Woodard</w:t>
            </w:r>
          </w:p>
        </w:tc>
        <w:tc>
          <w:tcPr>
            <w:tcW w:type="dxa" w:w="2736"/>
          </w:tcPr>
          <w:p>
            <w:r/>
            <w:r>
              <w:rPr>
                <w:sz w:val="19"/>
              </w:rPr>
              <w:t>Director of Sales</w:t>
            </w:r>
          </w:p>
        </w:tc>
        <w:tc>
          <w:tcPr>
            <w:tcW w:type="dxa" w:w="1296"/>
          </w:tcPr>
          <w:p>
            <w:r/>
            <w:r>
              <w:rPr>
                <w:sz w:val="19"/>
              </w:rPr>
              <w:t>13.3%</w:t>
            </w:r>
          </w:p>
        </w:tc>
        <w:tc>
          <w:tcPr>
            <w:tcW w:type="dxa" w:w="2304"/>
          </w:tcPr>
          <w:p>
            <w:r/>
            <w:r>
              <w:rPr>
                <w:sz w:val="19"/>
              </w:rPr>
              <w:t>Executive Director</w:t>
            </w:r>
          </w:p>
        </w:tc>
      </w:tr>
      <w:tr>
        <w:tc>
          <w:tcPr>
            <w:tcW w:type="dxa" w:w="3456"/>
          </w:tcPr>
          <w:p>
            <w:r/>
            <w:r>
              <w:rPr>
                <w:sz w:val="19"/>
              </w:rPr>
              <w:t>James E. Bullard</w:t>
            </w:r>
          </w:p>
        </w:tc>
        <w:tc>
          <w:tcPr>
            <w:tcW w:type="dxa" w:w="2736"/>
          </w:tcPr>
          <w:p>
            <w:r/>
            <w:r>
              <w:rPr>
                <w:sz w:val="19"/>
              </w:rPr>
              <w:t>Passive minority investor</w:t>
            </w:r>
          </w:p>
        </w:tc>
        <w:tc>
          <w:tcPr>
            <w:tcW w:type="dxa" w:w="1296"/>
          </w:tcPr>
          <w:p>
            <w:r/>
            <w:r>
              <w:rPr>
                <w:sz w:val="19"/>
              </w:rPr>
              <w:t>19.5%</w:t>
            </w:r>
          </w:p>
        </w:tc>
        <w:tc>
          <w:tcPr>
            <w:tcW w:type="dxa" w:w="2304"/>
          </w:tcPr>
          <w:p>
            <w:r/>
            <w:r>
              <w:rPr>
                <w:sz w:val="19"/>
              </w:rPr>
              <w:t>No operational role</w:t>
            </w:r>
          </w:p>
        </w:tc>
      </w:tr>
    </w:tbl>
    <w:p>
      <w:r>
        <w:rPr>
          <w:b w:val="0"/>
          <w:i w:val="0"/>
          <w:sz w:val="21"/>
        </w:rPr>
        <w:t>Tyler Hospice Hold, LLC (Wyoming holding company) owns 100% of Hickory Hospice LLC (Texas operating subsidiary), which does business as Azalea Hospice &amp; Palliative Care. The Executive Director leads operations; the Director of Nursing leads the clinical team; the Director of Sales leads business development. Mr. Bullard is a passive investor with protective minority rights but no management authority or signing power.</w:t>
      </w:r>
    </w:p>
    <w:p>
      <w:r>
        <w:rPr>
          <w:b/>
          <w:color w:val="1F3864"/>
          <w:sz w:val="23"/>
        </w:rPr>
        <w:t>8.2 Decision authority</w:t>
      </w:r>
    </w:p>
    <w:p>
      <w:r>
        <w:rPr>
          <w:b w:val="0"/>
          <w:i w:val="0"/>
          <w:sz w:val="21"/>
        </w:rPr>
        <w:t xml:space="preserve">  - Operating within budget ($0-$10K): Executive Director (Shelton)</w:t>
      </w:r>
    </w:p>
    <w:p>
      <w:r>
        <w:rPr>
          <w:b w:val="0"/>
          <w:i w:val="0"/>
          <w:sz w:val="21"/>
        </w:rPr>
        <w:t xml:space="preserve">  - Above $10K or out-of-budget: Manager (Schackmann, individually)</w:t>
      </w:r>
    </w:p>
    <w:p>
      <w:r>
        <w:rPr>
          <w:b w:val="0"/>
          <w:i w:val="0"/>
          <w:sz w:val="21"/>
        </w:rPr>
        <w:t xml:space="preserve">  - Clinical / regulatory: Director of Nursing (Davenport), escalated to Executive Director + Medical Director</w:t>
      </w:r>
    </w:p>
    <w:p>
      <w:r>
        <w:rPr>
          <w:b w:val="0"/>
          <w:i w:val="0"/>
          <w:sz w:val="21"/>
        </w:rPr>
        <w:t xml:space="preserve">  - Hiring / firing senior staff: Executive Director, with Manager concurrence</w:t>
      </w:r>
    </w:p>
    <w:p>
      <w:r>
        <w:rPr>
          <w:b w:val="0"/>
          <w:i w:val="0"/>
          <w:sz w:val="21"/>
        </w:rPr>
        <w:t xml:space="preserve">  - Strategic / capital / acquisition: Manager</w:t>
      </w:r>
    </w:p>
    <w:p>
      <w:r>
        <w:rPr>
          <w:b w:val="0"/>
          <w:i w:val="0"/>
          <w:sz w:val="21"/>
        </w:rPr>
        <w:t xml:space="preserve">  - Bank account signatures: Manager (sole signer)</w:t>
      </w:r>
    </w:p>
    <w:p>
      <w:r>
        <w:rPr>
          <w:b/>
          <w:color w:val="1F3864"/>
          <w:sz w:val="23"/>
        </w:rPr>
        <w:t>8.3 Equity vesting (operator-members)</w:t>
      </w:r>
    </w:p>
    <w:p>
      <w:r>
        <w:rPr>
          <w:b w:val="0"/>
          <w:i w:val="0"/>
          <w:sz w:val="21"/>
        </w:rPr>
        <w:t>Each operator-member's 13.3% interest is a Restricted Interest under the Operating Agreement. The entire 13.3% is at risk and forfeitable until vested. It comprises a 4.9% Initial Base that time-vests on continuous service (four-year schedule, one-year cliff) and an 8.4% Earn-Up Portion that vests only on a dual trigger: a four-year time-vesting schedule with a one-year cliff AND the performance milestones (25% at Breakeven, 50% at three consecutive Profitable months, 25% at twelve consecutive Profitable months), with the lesser of the two schedules governing - so no portion is vested at inception and each operator may earn up to a fully-vested 13.3%. Each grantee files a timely IRC Section 83(b) election. On departure, unvested interests are forfeited at $0; the Company holds a repurchase (call) right over vested interests - at fair market value for a good-leaver separation (termination without cause, death, disability, or retirement) and at the lower of cost or fair market value for a bad-leaver separation (resignation before full vesting, or termination for cause), paid via an SBA-subordinated note. This keeps operator equity aligned with the credit's performance and ensures departed operators do not retain equity in the company.</w:t>
      </w:r>
    </w:p>
    <w:p>
      <w:r>
        <w:br w:type="page"/>
      </w:r>
    </w:p>
    <w:p>
      <w:r>
        <w:rPr>
          <w:b/>
          <w:color w:val="1F3864"/>
          <w:sz w:val="30"/>
        </w:rPr>
        <w:t>09 - Leadership Team</w:t>
      </w:r>
    </w:p>
    <w:p>
      <w:r>
        <w:rPr>
          <w:b/>
          <w:color w:val="1F3864"/>
          <w:sz w:val="23"/>
        </w:rPr>
        <w:t>Geoff Schackmann - Manager (direct individual owner, 39.9%)</w:t>
      </w:r>
    </w:p>
    <w:p>
      <w:r>
        <w:rPr>
          <w:b w:val="0"/>
          <w:i w:val="0"/>
          <w:sz w:val="21"/>
        </w:rPr>
        <w:t>Multi-hospice operator and transaction-led growth leader with operational responsibility for Medicare-certified hospice and palliative-care agencies across multiple states. Direct individual owner of a 39.9% interest in Tyler Hospice Hold, LLC and its Manager.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Director of Sales,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19.5% membership interest acquired for a $195,000 cash capital contribution (his own savings).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Acquisition &amp; CHOW structure</w:t>
      </w:r>
    </w:p>
    <w:p>
      <w:r>
        <w:rPr>
          <w:b w:val="0"/>
          <w:i w:val="0"/>
          <w:sz w:val="21"/>
        </w:rPr>
        <w:t>The transaction is the acquisition of Hickory Hospice LLC - an established, Medicare-certified hospice currently owned by Tracy Gleason and Ann Lozano - structured as a Medicare change of ownership (CHOW) by purchase of 100% of its membership interests. The $300,000 purchase price is financed at close by a separate 3-year bank acquisition term loan (6%) from a bank the investor uses, personally guaranteed by James Bullard and subordinate to the SBA loan; the sellers are paid out at close and carry no acquisition financing. Hickory's existing Medicare provider number, state license, and CHAP/ACHC accreditation carry over to Azalea, so the agency is billing-ready from day one rather than waiting on a new-provider 855A enrollment. Azalea files the CMS-855A change of ownership and updates banking, EMR, and insurance into the new ownership structure.</w:t>
      </w:r>
    </w:p>
    <w:p>
      <w:r>
        <w:rPr>
          <w:b/>
          <w:color w:val="1F3864"/>
          <w:sz w:val="23"/>
        </w:rPr>
        <w:t>10.2 Revenue continuity</w:t>
      </w:r>
    </w:p>
    <w:p>
      <w:r>
        <w:rPr>
          <w:b w:val="0"/>
          <w:i w:val="0"/>
          <w:sz w:val="21"/>
        </w:rPr>
        <w:t>Because the CHOW preserves the existing provider number, the patient panel, care team, and referral relationships transfer intact - revenue continues without the gap a cold-start de-novo would face. The model's economics are benchmarked to actual collections rather than to speculative new-admit forecasts, so the opening ramp toward ~22 ADC carries materially less uncertainty, and growth above that level is driven by the team's own referral pipeline.</w:t>
      </w:r>
    </w:p>
    <w:p>
      <w:r>
        <w:rPr>
          <w:b/>
          <w:color w:val="1F3864"/>
          <w:sz w:val="23"/>
        </w:rPr>
        <w:t>10.3 Affiliate disclosure</w:t>
      </w:r>
    </w:p>
    <w:p>
      <w:r>
        <w:rPr>
          <w:b w:val="0"/>
          <w:i w:val="0"/>
          <w:sz w:val="21"/>
        </w:rPr>
        <w:t>The borrower's affiliate group consists of the borrower and its wholly owned operating subsidiary Hickory Hospice LLC - well within the applicable SBA size standard. The controlling owner (Geoff Schackmann, direct individual 39.9% owner)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10.4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1872"/>
          </w:tcPr>
          <w:p>
            <w:r/>
            <w:r>
              <w:rPr>
                <w:b/>
                <w:sz w:val="19"/>
              </w:rPr>
              <w:t>Phase</w:t>
            </w:r>
          </w:p>
        </w:tc>
        <w:tc>
          <w:tcPr>
            <w:tcW w:type="dxa" w:w="5616"/>
          </w:tcPr>
          <w:p>
            <w:r/>
            <w:r>
              <w:rPr>
                <w:b/>
                <w:sz w:val="19"/>
              </w:rPr>
              <w:t>Key activities</w:t>
            </w:r>
          </w:p>
        </w:tc>
      </w:tr>
      <w:tr>
        <w:tc>
          <w:tcPr>
            <w:tcW w:type="dxa" w:w="2016"/>
          </w:tcPr>
          <w:p>
            <w:r/>
            <w:r>
              <w:rPr>
                <w:sz w:val="19"/>
              </w:rPr>
              <w:t>Through July 2026</w:t>
            </w:r>
          </w:p>
        </w:tc>
        <w:tc>
          <w:tcPr>
            <w:tcW w:type="dxa" w:w="1872"/>
          </w:tcPr>
          <w:p>
            <w:r/>
            <w:r>
              <w:rPr>
                <w:sz w:val="19"/>
              </w:rPr>
              <w:t>Equity injection</w:t>
            </w:r>
          </w:p>
        </w:tc>
        <w:tc>
          <w:tcPr>
            <w:tcW w:type="dxa" w:w="5616"/>
          </w:tcPr>
          <w:p>
            <w:r/>
            <w:r>
              <w:rPr>
                <w:sz w:val="19"/>
              </w:rPr>
              <w:t>Bullard funds the $195,000 in two tranches ($100K received 5/7/2026; balance by 7/31/2026)</w:t>
            </w:r>
          </w:p>
        </w:tc>
      </w:tr>
      <w:tr>
        <w:tc>
          <w:tcPr>
            <w:tcW w:type="dxa" w:w="2016"/>
          </w:tcPr>
          <w:p>
            <w:r/>
            <w:r>
              <w:rPr>
                <w:sz w:val="19"/>
              </w:rPr>
              <w:t>Late July 2026</w:t>
            </w:r>
          </w:p>
        </w:tc>
        <w:tc>
          <w:tcPr>
            <w:tcW w:type="dxa" w:w="1872"/>
          </w:tcPr>
          <w:p>
            <w:r/>
            <w:r>
              <w:rPr>
                <w:sz w:val="19"/>
              </w:rPr>
              <w:t>Close &amp; stand-up</w:t>
            </w:r>
          </w:p>
        </w:tc>
        <w:tc>
          <w:tcPr>
            <w:tcW w:type="dxa" w:w="5616"/>
          </w:tcPr>
          <w:p>
            <w:r/>
            <w:r>
              <w:rPr>
                <w:sz w:val="19"/>
              </w:rPr>
              <w:t>Close Hickory CHOW after full injection on deposit; update banking (CMS-588 EFT), EMR, insurance; staff retention/credentialing</w:t>
            </w:r>
          </w:p>
        </w:tc>
      </w:tr>
      <w:tr>
        <w:tc>
          <w:tcPr>
            <w:tcW w:type="dxa" w:w="2016"/>
          </w:tcPr>
          <w:p>
            <w:r/>
            <w:r>
              <w:rPr>
                <w:sz w:val="19"/>
              </w:rPr>
              <w:t>Days 1-90 post-close</w:t>
            </w:r>
          </w:p>
        </w:tc>
        <w:tc>
          <w:tcPr>
            <w:tcW w:type="dxa" w:w="1872"/>
          </w:tcPr>
          <w:p>
            <w:r/>
            <w:r>
              <w:rPr>
                <w:sz w:val="19"/>
              </w:rPr>
              <w:t>855A CHOW</w:t>
            </w:r>
          </w:p>
        </w:tc>
        <w:tc>
          <w:tcPr>
            <w:tcW w:type="dxa" w:w="5616"/>
          </w:tcPr>
          <w:p>
            <w:r/>
            <w:r>
              <w:rPr>
                <w:sz w:val="19"/>
              </w:rPr>
              <w:t>File CMS-855A; CMS updates the provider number to Azalea; license &amp; accreditation transfer confirmed; billing uninterrupted</w:t>
            </w:r>
          </w:p>
        </w:tc>
      </w:tr>
      <w:tr>
        <w:tc>
          <w:tcPr>
            <w:tcW w:type="dxa" w:w="2016"/>
          </w:tcPr>
          <w:p>
            <w:r/>
            <w:r>
              <w:rPr>
                <w:sz w:val="19"/>
              </w:rPr>
              <w:t>Days 30-120</w:t>
            </w:r>
          </w:p>
        </w:tc>
        <w:tc>
          <w:tcPr>
            <w:tcW w:type="dxa" w:w="1872"/>
          </w:tcPr>
          <w:p>
            <w:r/>
            <w:r>
              <w:rPr>
                <w:sz w:val="19"/>
              </w:rPr>
              <w:t>BD ramp</w:t>
            </w:r>
          </w:p>
        </w:tc>
        <w:tc>
          <w:tcPr>
            <w:tcW w:type="dxa" w:w="5616"/>
          </w:tcPr>
          <w:p>
            <w:r/>
            <w:r>
              <w:rPr>
                <w:sz w:val="19"/>
              </w:rPr>
              <w:t>Woodard-led weekly referral cadence; digital marketing live; AR normalizes to ~45-day Medicare cycle</w:t>
            </w:r>
          </w:p>
        </w:tc>
      </w:tr>
      <w:tr>
        <w:tc>
          <w:tcPr>
            <w:tcW w:type="dxa" w:w="2016"/>
          </w:tcPr>
          <w:p>
            <w:r/>
            <w:r>
              <w:rPr>
                <w:sz w:val="19"/>
              </w:rPr>
              <w:t>Day 120+</w:t>
            </w:r>
          </w:p>
        </w:tc>
        <w:tc>
          <w:tcPr>
            <w:tcW w:type="dxa" w:w="1872"/>
          </w:tcPr>
          <w:p>
            <w:r/>
            <w:r>
              <w:rPr>
                <w:sz w:val="19"/>
              </w:rPr>
              <w:t>Growth</w:t>
            </w:r>
          </w:p>
        </w:tc>
        <w:tc>
          <w:tcPr>
            <w:tcW w:type="dxa" w:w="5616"/>
          </w:tcPr>
          <w:p>
            <w:r/>
            <w:r>
              <w:rPr>
                <w:sz w:val="19"/>
              </w:rPr>
              <w:t>Census builds with the referral pipeline; capacity hires triggered by ADC thresholds; DSCR &gt; 1.25x and rising</w:t>
            </w:r>
          </w:p>
        </w:tc>
      </w:tr>
    </w:tbl>
    <w:p>
      <w:r>
        <w:rPr>
          <w:b w:val="0"/>
          <w:i/>
          <w:sz w:val="19"/>
        </w:rPr>
        <w:t>SBA disbursement is sequenced to occur with the full $195,000 equity injection on deposit, in compliance with SOP 50 10 8.</w:t>
      </w:r>
    </w:p>
    <w:p>
      <w:r>
        <w:br w:type="page"/>
      </w:r>
    </w:p>
    <w:p>
      <w:r>
        <w:rPr>
          <w:b/>
          <w:color w:val="1F3864"/>
          <w:sz w:val="30"/>
        </w:rPr>
        <w:t>11 - Financial Plan and Projections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584"/>
          </w:tcPr>
          <w:p>
            <w:r/>
            <w:r>
              <w:rPr>
                <w:b/>
                <w:sz w:val="19"/>
              </w:rPr>
              <w:t>Amount</w:t>
            </w:r>
          </w:p>
        </w:tc>
        <w:tc>
          <w:tcPr>
            <w:tcW w:type="dxa" w:w="3744"/>
          </w:tcPr>
          <w:p>
            <w:r/>
            <w:r>
              <w:rPr>
                <w:b/>
                <w:sz w:val="19"/>
              </w:rPr>
              <w:t>Use</w:t>
            </w:r>
          </w:p>
        </w:tc>
        <w:tc>
          <w:tcPr>
            <w:tcW w:type="dxa" w:w="1584"/>
          </w:tcPr>
          <w:p>
            <w:r/>
            <w:r>
              <w:rPr>
                <w:b/>
                <w:sz w:val="19"/>
              </w:rPr>
              <w:t>Amount</w:t>
            </w:r>
          </w:p>
        </w:tc>
      </w:tr>
      <w:tr>
        <w:tc>
          <w:tcPr>
            <w:tcW w:type="dxa" w:w="3168"/>
          </w:tcPr>
          <w:p>
            <w:r/>
            <w:r>
              <w:rPr>
                <w:sz w:val="19"/>
              </w:rPr>
              <w:t>SBA 7(a) loan (startup + working capital)</w:t>
            </w:r>
          </w:p>
        </w:tc>
        <w:tc>
          <w:tcPr>
            <w:tcW w:type="dxa" w:w="1584"/>
          </w:tcPr>
          <w:p>
            <w:r/>
            <w:r>
              <w:rPr>
                <w:sz w:val="19"/>
              </w:rPr>
              <w:t>$450,000</w:t>
            </w:r>
          </w:p>
        </w:tc>
        <w:tc>
          <w:tcPr>
            <w:tcW w:type="dxa" w:w="3744"/>
          </w:tcPr>
          <w:p>
            <w:r/>
            <w:r>
              <w:rPr>
                <w:sz w:val="19"/>
              </w:rPr>
              <w:t>Acquisition of Hickory (funded by bank loan)</w:t>
            </w:r>
          </w:p>
        </w:tc>
        <w:tc>
          <w:tcPr>
            <w:tcW w:type="dxa" w:w="1584"/>
          </w:tcPr>
          <w:p>
            <w:r/>
            <w:r>
              <w:rPr>
                <w:sz w:val="19"/>
              </w:rPr>
              <w:t>$300,000</w:t>
            </w:r>
          </w:p>
        </w:tc>
      </w:tr>
      <w:tr>
        <w:tc>
          <w:tcPr>
            <w:tcW w:type="dxa" w:w="3168"/>
          </w:tcPr>
          <w:p>
            <w:r/>
            <w:r>
              <w:rPr>
                <w:sz w:val="19"/>
              </w:rPr>
              <w:t>Bank acquisition term loan (6%, 3-yr; J. Bullard PG; subordinate to SBA)</w:t>
            </w:r>
          </w:p>
        </w:tc>
        <w:tc>
          <w:tcPr>
            <w:tcW w:type="dxa" w:w="1584"/>
          </w:tcPr>
          <w:p>
            <w:r/>
            <w:r>
              <w:rPr>
                <w:sz w:val="19"/>
              </w:rPr>
              <w:t>$300,000</w:t>
            </w:r>
          </w:p>
        </w:tc>
        <w:tc>
          <w:tcPr>
            <w:tcW w:type="dxa" w:w="3744"/>
          </w:tcPr>
          <w:p>
            <w:r/>
            <w:r>
              <w:rPr>
                <w:sz w:val="19"/>
              </w:rPr>
              <w:t>Startup one-time costs (855A, licensure, EMR, supplies, legal, contingency)</w:t>
            </w:r>
          </w:p>
        </w:tc>
        <w:tc>
          <w:tcPr>
            <w:tcW w:type="dxa" w:w="1584"/>
          </w:tcPr>
          <w:p>
            <w:r/>
            <w:r>
              <w:rPr>
                <w:sz w:val="19"/>
              </w:rPr>
              <w:t>$63,000</w:t>
            </w:r>
          </w:p>
        </w:tc>
      </w:tr>
      <w:tr>
        <w:tc>
          <w:tcPr>
            <w:tcW w:type="dxa" w:w="3168"/>
          </w:tcPr>
          <w:p>
            <w:r/>
            <w:r>
              <w:rPr>
                <w:sz w:val="19"/>
              </w:rPr>
              <w:t>Cash equity injection (Bullard)</w:t>
            </w:r>
          </w:p>
        </w:tc>
        <w:tc>
          <w:tcPr>
            <w:tcW w:type="dxa" w:w="1584"/>
          </w:tcPr>
          <w:p>
            <w:r/>
            <w:r>
              <w:rPr>
                <w:sz w:val="19"/>
              </w:rPr>
              <w:t>$195,000</w:t>
            </w:r>
          </w:p>
        </w:tc>
        <w:tc>
          <w:tcPr>
            <w:tcW w:type="dxa" w:w="3744"/>
          </w:tcPr>
          <w:p>
            <w:r/>
            <w:r>
              <w:rPr>
                <w:sz w:val="19"/>
              </w:rPr>
              <w:t>Startup equipment (capex)</w:t>
            </w:r>
          </w:p>
        </w:tc>
        <w:tc>
          <w:tcPr>
            <w:tcW w:type="dxa" w:w="1584"/>
          </w:tcPr>
          <w:p>
            <w:r/>
            <w:r>
              <w:rPr>
                <w:sz w:val="19"/>
              </w:rPr>
              <w:t>$15,000</w:t>
            </w:r>
          </w:p>
        </w:tc>
      </w:tr>
      <w:tr>
        <w:tc>
          <w:tcPr>
            <w:tcW w:type="dxa" w:w="3168"/>
          </w:tcPr>
          <w:p>
            <w:r/>
            <w:r>
              <w:rPr>
                <w:sz w:val="19"/>
              </w:rPr>
            </w:r>
          </w:p>
        </w:tc>
        <w:tc>
          <w:tcPr>
            <w:tcW w:type="dxa" w:w="1584"/>
          </w:tcPr>
          <w:p>
            <w:r/>
            <w:r>
              <w:rPr>
                <w:sz w:val="19"/>
              </w:rPr>
            </w:r>
          </w:p>
        </w:tc>
        <w:tc>
          <w:tcPr>
            <w:tcW w:type="dxa" w:w="3744"/>
          </w:tcPr>
          <w:p>
            <w:r/>
            <w:r>
              <w:rPr>
                <w:sz w:val="19"/>
              </w:rPr>
              <w:t>Working-capital reserve (opening cash)</w:t>
            </w:r>
          </w:p>
        </w:tc>
        <w:tc>
          <w:tcPr>
            <w:tcW w:type="dxa" w:w="1584"/>
          </w:tcPr>
          <w:p>
            <w:r/>
            <w:r>
              <w:rPr>
                <w:sz w:val="19"/>
              </w:rPr>
              <w:t>$567,000</w:t>
            </w:r>
          </w:p>
        </w:tc>
      </w:tr>
      <w:tr>
        <w:tc>
          <w:tcPr>
            <w:tcW w:type="dxa" w:w="3168"/>
          </w:tcPr>
          <w:p>
            <w:r/>
            <w:r>
              <w:rPr>
                <w:sz w:val="19"/>
              </w:rPr>
              <w:t>Total sources</w:t>
            </w:r>
          </w:p>
        </w:tc>
        <w:tc>
          <w:tcPr>
            <w:tcW w:type="dxa" w:w="1584"/>
          </w:tcPr>
          <w:p>
            <w:r/>
            <w:r>
              <w:rPr>
                <w:sz w:val="19"/>
              </w:rPr>
              <w:t>$945,000</w:t>
            </w:r>
          </w:p>
        </w:tc>
        <w:tc>
          <w:tcPr>
            <w:tcW w:type="dxa" w:w="3744"/>
          </w:tcPr>
          <w:p>
            <w:r/>
            <w:r>
              <w:rPr>
                <w:sz w:val="19"/>
              </w:rPr>
              <w:t>Total uses</w:t>
            </w:r>
          </w:p>
        </w:tc>
        <w:tc>
          <w:tcPr>
            <w:tcW w:type="dxa" w:w="1584"/>
          </w:tcPr>
          <w:p>
            <w:r/>
            <w:r>
              <w:rPr>
                <w:sz w:val="19"/>
              </w:rPr>
              <w:t>$945,000</w:t>
            </w:r>
          </w:p>
        </w:tc>
      </w:tr>
    </w:tbl>
    <w:p>
      <w:r>
        <w:rPr>
          <w:b w:val="0"/>
          <w:i w:val="0"/>
          <w:sz w:val="21"/>
        </w:rPr>
        <w:t>The $300,000 Hickory acquisition is financed by a separate 3-year bank term loan (6%), personally guaranteed by James Bullard and subordinate to the SBA loan; the $450,000 SBA loan funds startup and the $567,000 working-capital reserve, so the business carries two debts after close. The $195,000 injection is 20.6% of the $945,000 project ($180,000 designated as the SBA equity injection, $15,000 additional working capital).</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9"/>
              </w:rPr>
              <w:t>Assumption</w:t>
            </w:r>
          </w:p>
        </w:tc>
        <w:tc>
          <w:tcPr>
            <w:tcW w:type="dxa" w:w="5760"/>
          </w:tcPr>
          <w:p>
            <w:r/>
            <w:r>
              <w:rPr>
                <w:b/>
                <w:sz w:val="19"/>
              </w:rPr>
              <w:t>Value</w:t>
            </w:r>
          </w:p>
        </w:tc>
      </w:tr>
      <w:tr>
        <w:tc>
          <w:tcPr>
            <w:tcW w:type="dxa" w:w="3744"/>
          </w:tcPr>
          <w:p>
            <w:r/>
            <w:r>
              <w:rPr>
                <w:sz w:val="19"/>
              </w:rPr>
              <w:t>Payer mix</w:t>
            </w:r>
          </w:p>
        </w:tc>
        <w:tc>
          <w:tcPr>
            <w:tcW w:type="dxa" w:w="5760"/>
          </w:tcPr>
          <w:p>
            <w:r/>
            <w:r>
              <w:rPr>
                <w:sz w:val="19"/>
              </w:rPr>
              <w:t>100% Medicare RHC</w:t>
            </w:r>
          </w:p>
        </w:tc>
      </w:tr>
      <w:tr>
        <w:tc>
          <w:tcPr>
            <w:tcW w:type="dxa" w:w="3744"/>
          </w:tcPr>
          <w:p>
            <w:r/>
            <w:r>
              <w:rPr>
                <w:sz w:val="19"/>
              </w:rPr>
              <w:t>RHC per-diem (Tier 1 / Tier 2)</w:t>
            </w:r>
          </w:p>
        </w:tc>
        <w:tc>
          <w:tcPr>
            <w:tcW w:type="dxa" w:w="5760"/>
          </w:tcPr>
          <w:p>
            <w:r/>
            <w:r>
              <w:rPr>
                <w:sz w:val="19"/>
              </w:rPr>
              <w:t>$230.83 / $182.36 (FY2026)</w:t>
            </w:r>
          </w:p>
        </w:tc>
      </w:tr>
      <w:tr>
        <w:tc>
          <w:tcPr>
            <w:tcW w:type="dxa" w:w="3744"/>
          </w:tcPr>
          <w:p>
            <w:r/>
            <w:r>
              <w:rPr>
                <w:sz w:val="19"/>
              </w:rPr>
              <w:t>Tyler CBSA wage index</w:t>
            </w:r>
          </w:p>
        </w:tc>
        <w:tc>
          <w:tcPr>
            <w:tcW w:type="dxa" w:w="5760"/>
          </w:tcPr>
          <w:p>
            <w:r/>
            <w:r>
              <w:rPr>
                <w:sz w:val="19"/>
              </w:rPr>
              <w:t>0.88 (0.68 labor share)</w:t>
            </w:r>
          </w:p>
        </w:tc>
      </w:tr>
      <w:tr>
        <w:tc>
          <w:tcPr>
            <w:tcW w:type="dxa" w:w="3744"/>
          </w:tcPr>
          <w:p>
            <w:r/>
            <w:r>
              <w:rPr>
                <w:sz w:val="19"/>
              </w:rPr>
              <w:t>Blended net rate / patient-day</w:t>
            </w:r>
          </w:p>
        </w:tc>
        <w:tc>
          <w:tcPr>
            <w:tcW w:type="dxa" w:w="5760"/>
          </w:tcPr>
          <w:p>
            <w:r/>
            <w:r>
              <w:rPr>
                <w:sz w:val="19"/>
              </w:rPr>
              <w:t>$181 - escalating 2.5% / year</w:t>
            </w:r>
          </w:p>
        </w:tc>
      </w:tr>
      <w:tr>
        <w:tc>
          <w:tcPr>
            <w:tcW w:type="dxa" w:w="3744"/>
          </w:tcPr>
          <w:p>
            <w:r/>
            <w:r>
              <w:rPr>
                <w:sz w:val="19"/>
              </w:rPr>
              <w:t>Census - base case (avg ADC)</w:t>
            </w:r>
          </w:p>
        </w:tc>
        <w:tc>
          <w:tcPr>
            <w:tcW w:type="dxa" w:w="5760"/>
          </w:tcPr>
          <w:p>
            <w:r/>
            <w:r>
              <w:rPr>
                <w:sz w:val="19"/>
              </w:rPr>
              <w:t>21.8 -&gt; 40.2 -&gt; 53.8 (Yrs 1-3)</w:t>
            </w:r>
          </w:p>
        </w:tc>
      </w:tr>
      <w:tr>
        <w:tc>
          <w:tcPr>
            <w:tcW w:type="dxa" w:w="3744"/>
          </w:tcPr>
          <w:p>
            <w:r/>
            <w:r>
              <w:rPr>
                <w:sz w:val="19"/>
              </w:rPr>
              <w:t>Patient COGS / patient-day</w:t>
            </w:r>
          </w:p>
        </w:tc>
        <w:tc>
          <w:tcPr>
            <w:tcW w:type="dxa" w:w="5760"/>
          </w:tcPr>
          <w:p>
            <w:r/>
            <w:r>
              <w:rPr>
                <w:sz w:val="19"/>
              </w:rPr>
              <w:t>supplies + DME + Rx (per model)</w:t>
            </w:r>
          </w:p>
        </w:tc>
      </w:tr>
      <w:tr>
        <w:tc>
          <w:tcPr>
            <w:tcW w:type="dxa" w:w="3744"/>
          </w:tcPr>
          <w:p>
            <w:r/>
            <w:r>
              <w:rPr>
                <w:sz w:val="19"/>
              </w:rPr>
              <w:t>Benefits load (W-2)</w:t>
            </w:r>
          </w:p>
        </w:tc>
        <w:tc>
          <w:tcPr>
            <w:tcW w:type="dxa" w:w="5760"/>
          </w:tcPr>
          <w:p>
            <w:r/>
            <w:r>
              <w:rPr>
                <w:sz w:val="19"/>
              </w:rPr>
              <w:t>18.27% + $550/employee/mo health</w:t>
            </w:r>
          </w:p>
        </w:tc>
      </w:tr>
      <w:tr>
        <w:tc>
          <w:tcPr>
            <w:tcW w:type="dxa" w:w="3744"/>
          </w:tcPr>
          <w:p>
            <w:r/>
            <w:r>
              <w:rPr>
                <w:sz w:val="19"/>
              </w:rPr>
              <w:t>Medical Directors (1099)</w:t>
            </w:r>
          </w:p>
        </w:tc>
        <w:tc>
          <w:tcPr>
            <w:tcW w:type="dxa" w:w="5760"/>
          </w:tcPr>
          <w:p>
            <w:r/>
            <w:r>
              <w:rPr>
                <w:sz w:val="19"/>
              </w:rPr>
              <w:t>$4,000/mo + $5,000/mo from M22</w:t>
            </w:r>
          </w:p>
        </w:tc>
      </w:tr>
      <w:tr>
        <w:tc>
          <w:tcPr>
            <w:tcW w:type="dxa" w:w="3744"/>
          </w:tcPr>
          <w:p>
            <w:r/>
            <w:r>
              <w:rPr>
                <w:sz w:val="19"/>
              </w:rPr>
              <w:t>Outsourced billing / QR fee</w:t>
            </w:r>
          </w:p>
        </w:tc>
        <w:tc>
          <w:tcPr>
            <w:tcW w:type="dxa" w:w="5760"/>
          </w:tcPr>
          <w:p>
            <w:r/>
            <w:r>
              <w:rPr>
                <w:sz w:val="19"/>
              </w:rPr>
              <w:t>1.5% / 0.75% of gross</w:t>
            </w:r>
          </w:p>
        </w:tc>
      </w:tr>
      <w:tr>
        <w:tc>
          <w:tcPr>
            <w:tcW w:type="dxa" w:w="3744"/>
          </w:tcPr>
          <w:p>
            <w:r/>
            <w:r>
              <w:rPr>
                <w:sz w:val="19"/>
              </w:rPr>
              <w:t>SBA 7(a)</w:t>
            </w:r>
          </w:p>
        </w:tc>
        <w:tc>
          <w:tcPr>
            <w:tcW w:type="dxa" w:w="5760"/>
          </w:tcPr>
          <w:p>
            <w:r/>
            <w:r>
              <w:rPr>
                <w:sz w:val="19"/>
              </w:rPr>
              <w:t>$450,000 - ~10.5% rate - 180 mo (15-yr) - $4,974/mo ($59,692/yr)</w:t>
            </w:r>
          </w:p>
        </w:tc>
      </w:tr>
      <w:tr>
        <w:tc>
          <w:tcPr>
            <w:tcW w:type="dxa" w:w="3744"/>
          </w:tcPr>
          <w:p>
            <w:r/>
            <w:r>
              <w:rPr>
                <w:sz w:val="19"/>
              </w:rPr>
              <w:t>Bank acquisition loan</w:t>
            </w:r>
          </w:p>
        </w:tc>
        <w:tc>
          <w:tcPr>
            <w:tcW w:type="dxa" w:w="5760"/>
          </w:tcPr>
          <w:p>
            <w:r/>
            <w:r>
              <w:rPr>
                <w:sz w:val="19"/>
              </w:rPr>
              <w:t>$300,000 - 6% - 36 mo (3-yr) - $9,127/mo ($109,519/yr); J. Bullard PG; subordinate to SBA</w:t>
            </w:r>
          </w:p>
        </w:tc>
      </w:tr>
      <w:tr>
        <w:tc>
          <w:tcPr>
            <w:tcW w:type="dxa" w:w="3744"/>
          </w:tcPr>
          <w:p>
            <w:r/>
            <w:r>
              <w:rPr>
                <w:sz w:val="19"/>
              </w:rPr>
              <w:t>Combined debt service (Yrs 1-3)</w:t>
            </w:r>
          </w:p>
        </w:tc>
        <w:tc>
          <w:tcPr>
            <w:tcW w:type="dxa" w:w="5760"/>
          </w:tcPr>
          <w:p>
            <w:r/>
            <w:r>
              <w:rPr>
                <w:sz w:val="19"/>
              </w:rPr>
              <w:t>$169,211/yr ($14,101/mo); after Yr 3, SBA only (~$59,692/yr)</w:t>
            </w:r>
          </w:p>
        </w:tc>
      </w:tr>
      <w:tr>
        <w:tc>
          <w:tcPr>
            <w:tcW w:type="dxa" w:w="3744"/>
          </w:tcPr>
          <w:p>
            <w:r/>
            <w:r>
              <w:rPr>
                <w:sz w:val="19"/>
              </w:rPr>
              <w:t>Equity injection</w:t>
            </w:r>
          </w:p>
        </w:tc>
        <w:tc>
          <w:tcPr>
            <w:tcW w:type="dxa" w:w="5760"/>
          </w:tcPr>
          <w:p>
            <w:r/>
            <w:r>
              <w:rPr>
                <w:sz w:val="19"/>
              </w:rPr>
              <w:t>$195,000 cash (20.6% of project; $180K SBA injection + $15K WC)</w:t>
            </w:r>
          </w:p>
        </w:tc>
      </w:tr>
      <w:tr>
        <w:tc>
          <w:tcPr>
            <w:tcW w:type="dxa" w:w="3744"/>
          </w:tcPr>
          <w:p>
            <w:r/>
            <w:r>
              <w:rPr>
                <w:sz w:val="19"/>
              </w:rPr>
              <w:t>Depreciation &amp; amortization</w:t>
            </w:r>
          </w:p>
        </w:tc>
        <w:tc>
          <w:tcPr>
            <w:tcW w:type="dxa" w:w="5760"/>
          </w:tcPr>
          <w:p>
            <w:r/>
            <w:r>
              <w:rPr>
                <w:sz w:val="19"/>
              </w:rPr>
              <w:t>$78K startup+capex (5-yr) + $300K license (15-yr) = $35,600/yr</w:t>
            </w:r>
          </w:p>
        </w:tc>
      </w:tr>
      <w:tr>
        <w:tc>
          <w:tcPr>
            <w:tcW w:type="dxa" w:w="3744"/>
          </w:tcPr>
          <w:p>
            <w:r/>
            <w:r>
              <w:rPr>
                <w:sz w:val="19"/>
              </w:rPr>
              <w:t>TX franchise tax / AR-AP days</w:t>
            </w:r>
          </w:p>
        </w:tc>
        <w:tc>
          <w:tcPr>
            <w:tcW w:type="dxa" w:w="5760"/>
          </w:tcPr>
          <w:p>
            <w:r/>
            <w:r>
              <w:rPr>
                <w:sz w:val="19"/>
              </w:rPr>
              <w:t>per model / 45-30</w:t>
            </w:r>
          </w:p>
        </w:tc>
      </w:tr>
      <w:tr>
        <w:tc>
          <w:tcPr>
            <w:tcW w:type="dxa" w:w="3744"/>
          </w:tcPr>
          <w:p>
            <w:r/>
            <w:r>
              <w:rPr>
                <w:sz w:val="19"/>
              </w:rPr>
              <w:t>Opening cash reserve</w:t>
            </w:r>
          </w:p>
        </w:tc>
        <w:tc>
          <w:tcPr>
            <w:tcW w:type="dxa" w:w="5760"/>
          </w:tcPr>
          <w:p>
            <w:r/>
            <w:r>
              <w:rPr>
                <w:sz w:val="19"/>
              </w:rPr>
              <w:t>$567,000</w:t>
            </w:r>
          </w:p>
        </w:tc>
      </w:tr>
    </w:tbl>
    <w:p>
      <w:r>
        <w:rPr>
          <w:b/>
          <w:color w:val="1F3864"/>
          <w:sz w:val="23"/>
        </w:rPr>
        <w:t>11.4 Three-year profit &amp; loss (current operating model)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Average daily census (ADC)</w:t>
            </w:r>
          </w:p>
        </w:tc>
        <w:tc>
          <w:tcPr>
            <w:tcW w:type="dxa" w:w="2016"/>
          </w:tcPr>
          <w:p>
            <w:r/>
            <w:r>
              <w:rPr>
                <w:sz w:val="19"/>
              </w:rPr>
              <w:t>21.8</w:t>
            </w:r>
          </w:p>
        </w:tc>
        <w:tc>
          <w:tcPr>
            <w:tcW w:type="dxa" w:w="2016"/>
          </w:tcPr>
          <w:p>
            <w:r/>
            <w:r>
              <w:rPr>
                <w:sz w:val="19"/>
              </w:rPr>
              <w:t>40.2</w:t>
            </w:r>
          </w:p>
        </w:tc>
        <w:tc>
          <w:tcPr>
            <w:tcW w:type="dxa" w:w="2016"/>
          </w:tcPr>
          <w:p>
            <w:r/>
            <w:r>
              <w:rPr>
                <w:sz w:val="19"/>
              </w:rPr>
              <w:t>53.8</w:t>
            </w:r>
          </w:p>
        </w:tc>
      </w:tr>
      <w:tr>
        <w:tc>
          <w:tcPr>
            <w:tcW w:type="dxa" w:w="3744"/>
          </w:tcPr>
          <w:p>
            <w:r/>
            <w:r>
              <w:rPr>
                <w:sz w:val="19"/>
              </w:rPr>
              <w:t>Net patient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Patient-related COGS</w:t>
            </w:r>
          </w:p>
        </w:tc>
        <w:tc>
          <w:tcPr>
            <w:tcW w:type="dxa" w:w="2016"/>
          </w:tcPr>
          <w:p>
            <w:r/>
            <w:r>
              <w:rPr>
                <w:sz w:val="19"/>
              </w:rPr>
              <w:t>$71,549</w:t>
            </w:r>
          </w:p>
        </w:tc>
        <w:tc>
          <w:tcPr>
            <w:tcW w:type="dxa" w:w="2016"/>
          </w:tcPr>
          <w:p>
            <w:r/>
            <w:r>
              <w:rPr>
                <w:sz w:val="19"/>
              </w:rPr>
              <w:t>$132,002</w:t>
            </w:r>
          </w:p>
        </w:tc>
        <w:tc>
          <w:tcPr>
            <w:tcW w:type="dxa" w:w="2016"/>
          </w:tcPr>
          <w:p>
            <w:r/>
            <w:r>
              <w:rPr>
                <w:sz w:val="19"/>
              </w:rPr>
              <w:t>$176,276</w:t>
            </w:r>
          </w:p>
        </w:tc>
      </w:tr>
      <w:tr>
        <w:tc>
          <w:tcPr>
            <w:tcW w:type="dxa" w:w="3744"/>
          </w:tcPr>
          <w:p>
            <w:r/>
            <w:r>
              <w:rPr>
                <w:sz w:val="19"/>
              </w:rPr>
              <w:t>Payroll &amp; related</w:t>
            </w:r>
          </w:p>
        </w:tc>
        <w:tc>
          <w:tcPr>
            <w:tcW w:type="dxa" w:w="2016"/>
          </w:tcPr>
          <w:p>
            <w:r/>
            <w:r>
              <w:rPr>
                <w:sz w:val="19"/>
              </w:rPr>
              <w:t>$868,172</w:t>
            </w:r>
          </w:p>
        </w:tc>
        <w:tc>
          <w:tcPr>
            <w:tcW w:type="dxa" w:w="2016"/>
          </w:tcPr>
          <w:p>
            <w:r/>
            <w:r>
              <w:rPr>
                <w:sz w:val="19"/>
              </w:rPr>
              <w:t>$1,686,864</w:t>
            </w:r>
          </w:p>
        </w:tc>
        <w:tc>
          <w:tcPr>
            <w:tcW w:type="dxa" w:w="2016"/>
          </w:tcPr>
          <w:p>
            <w:r/>
            <w:r>
              <w:rPr>
                <w:sz w:val="19"/>
              </w:rPr>
              <w:t>$2,297,748</w:t>
            </w:r>
          </w:p>
        </w:tc>
      </w:tr>
      <w:tr>
        <w:tc>
          <w:tcPr>
            <w:tcW w:type="dxa" w:w="3744"/>
          </w:tcPr>
          <w:p>
            <w:r/>
            <w:r>
              <w:rPr>
                <w:sz w:val="19"/>
              </w:rPr>
              <w:t>Operating G&amp;A</w:t>
            </w:r>
          </w:p>
        </w:tc>
        <w:tc>
          <w:tcPr>
            <w:tcW w:type="dxa" w:w="2016"/>
          </w:tcPr>
          <w:p>
            <w:r/>
            <w:r>
              <w:rPr>
                <w:sz w:val="19"/>
              </w:rPr>
              <w:t>$200,687</w:t>
            </w:r>
          </w:p>
        </w:tc>
        <w:tc>
          <w:tcPr>
            <w:tcW w:type="dxa" w:w="2016"/>
          </w:tcPr>
          <w:p>
            <w:r/>
            <w:r>
              <w:rPr>
                <w:sz w:val="19"/>
              </w:rPr>
              <w:t>$230,251</w:t>
            </w:r>
          </w:p>
        </w:tc>
        <w:tc>
          <w:tcPr>
            <w:tcW w:type="dxa" w:w="2016"/>
          </w:tcPr>
          <w:p>
            <w:r/>
            <w:r>
              <w:rPr>
                <w:sz w:val="19"/>
              </w:rPr>
              <w:t>$253,390</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EBITDA margin</w:t>
            </w:r>
          </w:p>
        </w:tc>
        <w:tc>
          <w:tcPr>
            <w:tcW w:type="dxa" w:w="2016"/>
          </w:tcPr>
          <w:p>
            <w:r/>
            <w:r>
              <w:rPr>
                <w:sz w:val="19"/>
              </w:rPr>
              <w:t>21.0%</w:t>
            </w:r>
          </w:p>
        </w:tc>
        <w:tc>
          <w:tcPr>
            <w:tcW w:type="dxa" w:w="2016"/>
          </w:tcPr>
          <w:p>
            <w:r/>
            <w:r>
              <w:rPr>
                <w:sz w:val="19"/>
              </w:rPr>
              <w:t>24.9%</w:t>
            </w:r>
          </w:p>
        </w:tc>
        <w:tc>
          <w:tcPr>
            <w:tcW w:type="dxa" w:w="2016"/>
          </w:tcPr>
          <w:p>
            <w:r/>
            <w:r>
              <w:rPr>
                <w:sz w:val="19"/>
              </w:rPr>
              <w:t>27.0%</w:t>
            </w:r>
          </w:p>
        </w:tc>
      </w:tr>
      <w:tr>
        <w:tc>
          <w:tcPr>
            <w:tcW w:type="dxa" w:w="3744"/>
          </w:tcPr>
          <w:p>
            <w:r/>
            <w:r>
              <w:rPr>
                <w:sz w:val="19"/>
              </w:rPr>
              <w:t>Depreciation &amp; amortization</w:t>
            </w:r>
          </w:p>
        </w:tc>
        <w:tc>
          <w:tcPr>
            <w:tcW w:type="dxa" w:w="2016"/>
          </w:tcPr>
          <w:p>
            <w:r/>
            <w:r>
              <w:rPr>
                <w:sz w:val="19"/>
              </w:rPr>
              <w:t>$35,600</w:t>
            </w:r>
          </w:p>
        </w:tc>
        <w:tc>
          <w:tcPr>
            <w:tcW w:type="dxa" w:w="2016"/>
          </w:tcPr>
          <w:p>
            <w:r/>
            <w:r>
              <w:rPr>
                <w:sz w:val="19"/>
              </w:rPr>
              <w:t>$35,600</w:t>
            </w:r>
          </w:p>
        </w:tc>
        <w:tc>
          <w:tcPr>
            <w:tcW w:type="dxa" w:w="2016"/>
          </w:tcPr>
          <w:p>
            <w:r/>
            <w:r>
              <w:rPr>
                <w:sz w:val="19"/>
              </w:rPr>
              <w:t>$35,600</w:t>
            </w:r>
          </w:p>
        </w:tc>
      </w:tr>
      <w:tr>
        <w:tc>
          <w:tcPr>
            <w:tcW w:type="dxa" w:w="3744"/>
          </w:tcPr>
          <w:p>
            <w:r/>
            <w:r>
              <w:rPr>
                <w:sz w:val="19"/>
              </w:rPr>
              <w:t>Interest - SBA loan</w:t>
            </w:r>
          </w:p>
        </w:tc>
        <w:tc>
          <w:tcPr>
            <w:tcW w:type="dxa" w:w="2016"/>
          </w:tcPr>
          <w:p>
            <w:r/>
            <w:r>
              <w:rPr>
                <w:sz w:val="19"/>
              </w:rPr>
              <w:t>$46,633</w:t>
            </w:r>
          </w:p>
        </w:tc>
        <w:tc>
          <w:tcPr>
            <w:tcW w:type="dxa" w:w="2016"/>
          </w:tcPr>
          <w:p>
            <w:r/>
            <w:r>
              <w:rPr>
                <w:sz w:val="19"/>
              </w:rPr>
              <w:t>$45,325</w:t>
            </w:r>
          </w:p>
        </w:tc>
        <w:tc>
          <w:tcPr>
            <w:tcW w:type="dxa" w:w="2016"/>
          </w:tcPr>
          <w:p>
            <w:r/>
            <w:r>
              <w:rPr>
                <w:sz w:val="19"/>
              </w:rPr>
              <w:t>$43,757</w:t>
            </w:r>
          </w:p>
        </w:tc>
      </w:tr>
      <w:tr>
        <w:tc>
          <w:tcPr>
            <w:tcW w:type="dxa" w:w="3744"/>
          </w:tcPr>
          <w:p>
            <w:r/>
            <w:r>
              <w:rPr>
                <w:sz w:val="19"/>
              </w:rPr>
              <w:t>Interest - bank acquisition loan</w:t>
            </w:r>
          </w:p>
        </w:tc>
        <w:tc>
          <w:tcPr>
            <w:tcW w:type="dxa" w:w="2016"/>
          </w:tcPr>
          <w:p>
            <w:r/>
            <w:r>
              <w:rPr>
                <w:sz w:val="19"/>
              </w:rPr>
              <w:t>$15,441</w:t>
            </w:r>
          </w:p>
        </w:tc>
        <w:tc>
          <w:tcPr>
            <w:tcW w:type="dxa" w:w="2016"/>
          </w:tcPr>
          <w:p>
            <w:r/>
            <w:r>
              <w:rPr>
                <w:sz w:val="19"/>
              </w:rPr>
              <w:t>$9,638</w:t>
            </w:r>
          </w:p>
        </w:tc>
        <w:tc>
          <w:tcPr>
            <w:tcW w:type="dxa" w:w="2016"/>
          </w:tcPr>
          <w:p>
            <w:r/>
            <w:r>
              <w:rPr>
                <w:sz w:val="19"/>
              </w:rPr>
              <w:t>$3,478</w:t>
            </w:r>
          </w:p>
        </w:tc>
      </w:tr>
      <w:tr>
        <w:tc>
          <w:tcPr>
            <w:tcW w:type="dxa" w:w="3744"/>
          </w:tcPr>
          <w:p>
            <w:r/>
            <w:r>
              <w:rPr>
                <w:sz w:val="19"/>
              </w:rPr>
              <w:t>Interest - total</w:t>
            </w:r>
          </w:p>
        </w:tc>
        <w:tc>
          <w:tcPr>
            <w:tcW w:type="dxa" w:w="2016"/>
          </w:tcPr>
          <w:p>
            <w:r/>
            <w:r>
              <w:rPr>
                <w:sz w:val="19"/>
              </w:rPr>
              <w:t>$62,074</w:t>
            </w:r>
          </w:p>
        </w:tc>
        <w:tc>
          <w:tcPr>
            <w:tcW w:type="dxa" w:w="2016"/>
          </w:tcPr>
          <w:p>
            <w:r/>
            <w:r>
              <w:rPr>
                <w:sz w:val="19"/>
              </w:rPr>
              <w:t>$54,963</w:t>
            </w:r>
          </w:p>
        </w:tc>
        <w:tc>
          <w:tcPr>
            <w:tcW w:type="dxa" w:w="2016"/>
          </w:tcPr>
          <w:p>
            <w:r/>
            <w:r>
              <w:rPr>
                <w:sz w:val="19"/>
              </w:rPr>
              <w:t>$47,235</w:t>
            </w:r>
          </w:p>
        </w:tc>
      </w:tr>
      <w:tr>
        <w:tc>
          <w:tcPr>
            <w:tcW w:type="dxa" w:w="3744"/>
          </w:tcPr>
          <w:p>
            <w:r/>
            <w:r>
              <w:rPr>
                <w:sz w:val="19"/>
              </w:rPr>
              <w:t>TX franchise tax</w:t>
            </w:r>
          </w:p>
        </w:tc>
        <w:tc>
          <w:tcPr>
            <w:tcW w:type="dxa" w:w="2016"/>
          </w:tcPr>
          <w:p>
            <w:r/>
            <w:r>
              <w:rPr>
                <w:sz w:val="19"/>
              </w:rPr>
              <w:t>$5,411</w:t>
            </w:r>
          </w:p>
        </w:tc>
        <w:tc>
          <w:tcPr>
            <w:tcW w:type="dxa" w:w="2016"/>
          </w:tcPr>
          <w:p>
            <w:r/>
            <w:r>
              <w:rPr>
                <w:sz w:val="19"/>
              </w:rPr>
              <w:t>$10,232</w:t>
            </w:r>
          </w:p>
        </w:tc>
        <w:tc>
          <w:tcPr>
            <w:tcW w:type="dxa" w:w="2016"/>
          </w:tcPr>
          <w:p>
            <w:r/>
            <w:r>
              <w:rPr>
                <w:sz w:val="19"/>
              </w:rPr>
              <w:t>$14,006</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Net revenue grows from $1.44M to $3.73M and EBITDA from $303K to $1.01M as the base-case census builds from ~22 to ~54 ADC on the team's referral pipeline, with a conservative 2.5% annual CMS per-diem escalation. Payroll scales on census triggers, carrying the fuller, more defensible direct-care roster sized to the census being underwritten. D&amp;A of $35,600/yr is a non-cash charge below EBITDA that does not affect debt-service coverage.</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Month</w:t>
            </w:r>
          </w:p>
        </w:tc>
        <w:tc>
          <w:tcPr>
            <w:tcW w:type="dxa" w:w="1440"/>
          </w:tcPr>
          <w:p>
            <w:r/>
            <w:r>
              <w:rPr>
                <w:b/>
                <w:sz w:val="19"/>
              </w:rPr>
              <w:t>ADC</w:t>
            </w:r>
          </w:p>
        </w:tc>
        <w:tc>
          <w:tcPr>
            <w:tcW w:type="dxa" w:w="2304"/>
          </w:tcPr>
          <w:p>
            <w:r/>
            <w:r>
              <w:rPr>
                <w:b/>
                <w:sz w:val="19"/>
              </w:rPr>
              <w:t>Net revenue</w:t>
            </w:r>
          </w:p>
        </w:tc>
        <w:tc>
          <w:tcPr>
            <w:tcW w:type="dxa" w:w="3456"/>
          </w:tcPr>
          <w:p>
            <w:r/>
            <w:r>
              <w:rPr>
                <w:b/>
                <w:sz w:val="19"/>
              </w:rPr>
              <w:t>DSCR (combined debt)</w:t>
            </w:r>
          </w:p>
        </w:tc>
      </w:tr>
      <w:tr>
        <w:tc>
          <w:tcPr>
            <w:tcW w:type="dxa" w:w="2304"/>
          </w:tcPr>
          <w:p>
            <w:r/>
            <w:r>
              <w:rPr>
                <w:sz w:val="19"/>
              </w:rPr>
              <w:t>M1 (transition)</w:t>
            </w:r>
          </w:p>
        </w:tc>
        <w:tc>
          <w:tcPr>
            <w:tcW w:type="dxa" w:w="1440"/>
          </w:tcPr>
          <w:p>
            <w:r/>
            <w:r>
              <w:rPr>
                <w:sz w:val="19"/>
              </w:rPr>
              <w:t>12.0</w:t>
            </w:r>
          </w:p>
        </w:tc>
        <w:tc>
          <w:tcPr>
            <w:tcW w:type="dxa" w:w="2304"/>
          </w:tcPr>
          <w:p>
            <w:r/>
            <w:r>
              <w:rPr>
                <w:sz w:val="19"/>
              </w:rPr>
              <w:t>~$66,000</w:t>
            </w:r>
          </w:p>
        </w:tc>
        <w:tc>
          <w:tcPr>
            <w:tcW w:type="dxa" w:w="3456"/>
          </w:tcPr>
          <w:p>
            <w:r/>
            <w:r>
              <w:rPr>
                <w:sz w:val="19"/>
              </w:rPr>
              <w:t>covered by reserve</w:t>
            </w:r>
          </w:p>
        </w:tc>
      </w:tr>
      <w:tr>
        <w:tc>
          <w:tcPr>
            <w:tcW w:type="dxa" w:w="2304"/>
          </w:tcPr>
          <w:p>
            <w:r/>
            <w:r>
              <w:rPr>
                <w:sz w:val="19"/>
              </w:rPr>
              <w:t>M3</w:t>
            </w:r>
          </w:p>
        </w:tc>
        <w:tc>
          <w:tcPr>
            <w:tcW w:type="dxa" w:w="1440"/>
          </w:tcPr>
          <w:p>
            <w:r/>
            <w:r>
              <w:rPr>
                <w:sz w:val="19"/>
              </w:rPr>
              <w:t>22.0</w:t>
            </w:r>
          </w:p>
        </w:tc>
        <w:tc>
          <w:tcPr>
            <w:tcW w:type="dxa" w:w="2304"/>
          </w:tcPr>
          <w:p>
            <w:r/>
            <w:r>
              <w:rPr>
                <w:sz w:val="19"/>
              </w:rPr>
              <w:t>~$121,000</w:t>
            </w:r>
          </w:p>
        </w:tc>
        <w:tc>
          <w:tcPr>
            <w:tcW w:type="dxa" w:w="3456"/>
          </w:tcPr>
          <w:p>
            <w:r/>
            <w:r>
              <w:rPr>
                <w:sz w:val="19"/>
              </w:rPr>
              <w:t>near the 1.25x floor in ramp</w:t>
            </w:r>
          </w:p>
        </w:tc>
      </w:tr>
      <w:tr>
        <w:tc>
          <w:tcPr>
            <w:tcW w:type="dxa" w:w="2304"/>
          </w:tcPr>
          <w:p>
            <w:r/>
            <w:r>
              <w:rPr>
                <w:sz w:val="19"/>
              </w:rPr>
              <w:t>M6</w:t>
            </w:r>
          </w:p>
        </w:tc>
        <w:tc>
          <w:tcPr>
            <w:tcW w:type="dxa" w:w="1440"/>
          </w:tcPr>
          <w:p>
            <w:r/>
            <w:r>
              <w:rPr>
                <w:sz w:val="19"/>
              </w:rPr>
              <w:t>22.7</w:t>
            </w:r>
          </w:p>
        </w:tc>
        <w:tc>
          <w:tcPr>
            <w:tcW w:type="dxa" w:w="2304"/>
          </w:tcPr>
          <w:p>
            <w:r/>
            <w:r>
              <w:rPr>
                <w:sz w:val="19"/>
              </w:rPr>
              <w:t>~$125,000</w:t>
            </w:r>
          </w:p>
        </w:tc>
        <w:tc>
          <w:tcPr>
            <w:tcW w:type="dxa" w:w="3456"/>
          </w:tcPr>
          <w:p>
            <w:r/>
            <w:r>
              <w:rPr>
                <w:sz w:val="19"/>
              </w:rPr>
              <w:t>near/above floor as census stabilizes</w:t>
            </w:r>
          </w:p>
        </w:tc>
      </w:tr>
      <w:tr>
        <w:tc>
          <w:tcPr>
            <w:tcW w:type="dxa" w:w="2304"/>
          </w:tcPr>
          <w:p>
            <w:r/>
            <w:r>
              <w:rPr>
                <w:sz w:val="19"/>
              </w:rPr>
              <w:t>M12</w:t>
            </w:r>
          </w:p>
        </w:tc>
        <w:tc>
          <w:tcPr>
            <w:tcW w:type="dxa" w:w="1440"/>
          </w:tcPr>
          <w:p>
            <w:r/>
            <w:r>
              <w:rPr>
                <w:sz w:val="19"/>
              </w:rPr>
              <w:t>24.0</w:t>
            </w:r>
          </w:p>
        </w:tc>
        <w:tc>
          <w:tcPr>
            <w:tcW w:type="dxa" w:w="2304"/>
          </w:tcPr>
          <w:p>
            <w:r/>
            <w:r>
              <w:rPr>
                <w:sz w:val="19"/>
              </w:rPr>
              <w:t>~$132,000</w:t>
            </w:r>
          </w:p>
        </w:tc>
        <w:tc>
          <w:tcPr>
            <w:tcW w:type="dxa" w:w="3456"/>
          </w:tcPr>
          <w:p>
            <w:r/>
            <w:r>
              <w:rPr>
                <w:sz w:val="19"/>
              </w:rPr>
              <w:t>above floor</w:t>
            </w:r>
          </w:p>
        </w:tc>
      </w:tr>
    </w:tbl>
    <w:p>
      <w:r>
        <w:rPr>
          <w:b w:val="0"/>
          <w:i w:val="0"/>
          <w:sz w:val="21"/>
        </w:rPr>
        <w:t>DSCR here is on combined debt service of $14,101/month (SBA $4,974 + bank $9,127). Month 1 is the transition month (partial census at 12 ADC) and is absorbed by the $567K opening cash reserve; monthly coverage is thinner in the early ramp because the 3-year bank acquisition loan is front-loaded, then firms as census stabilizes around the validated ~22 ADC. On an annual basis Year 1 covers at 1.79x, and the LOC is never drawn.</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Metric</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Net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Combined debt service (SBA + bank)</w:t>
            </w:r>
          </w:p>
        </w:tc>
        <w:tc>
          <w:tcPr>
            <w:tcW w:type="dxa" w:w="2016"/>
          </w:tcPr>
          <w:p>
            <w:r/>
            <w:r>
              <w:rPr>
                <w:sz w:val="19"/>
              </w:rPr>
              <w:t>$169,211</w:t>
            </w:r>
          </w:p>
        </w:tc>
        <w:tc>
          <w:tcPr>
            <w:tcW w:type="dxa" w:w="2016"/>
          </w:tcPr>
          <w:p>
            <w:r/>
            <w:r>
              <w:rPr>
                <w:sz w:val="19"/>
              </w:rPr>
              <w:t>$169,211</w:t>
            </w:r>
          </w:p>
        </w:tc>
        <w:tc>
          <w:tcPr>
            <w:tcW w:type="dxa" w:w="2016"/>
          </w:tcPr>
          <w:p>
            <w:r/>
            <w:r>
              <w:rPr>
                <w:sz w:val="19"/>
              </w:rPr>
              <w:t>$169,211</w:t>
            </w:r>
          </w:p>
        </w:tc>
      </w:tr>
      <w:tr>
        <w:tc>
          <w:tcPr>
            <w:tcW w:type="dxa" w:w="3744"/>
          </w:tcPr>
          <w:p>
            <w:r/>
            <w:r>
              <w:rPr>
                <w:sz w:val="19"/>
              </w:rPr>
              <w:t>DSCR (combined debt)</w:t>
            </w:r>
          </w:p>
        </w:tc>
        <w:tc>
          <w:tcPr>
            <w:tcW w:type="dxa" w:w="2016"/>
          </w:tcPr>
          <w:p>
            <w:r/>
            <w:r>
              <w:rPr>
                <w:sz w:val="19"/>
              </w:rPr>
              <w:t>1.79x</w:t>
            </w:r>
          </w:p>
        </w:tc>
        <w:tc>
          <w:tcPr>
            <w:tcW w:type="dxa" w:w="2016"/>
          </w:tcPr>
          <w:p>
            <w:r/>
            <w:r>
              <w:rPr>
                <w:sz w:val="19"/>
              </w:rPr>
              <w:t>4.02x</w:t>
            </w:r>
          </w:p>
        </w:tc>
        <w:tc>
          <w:tcPr>
            <w:tcW w:type="dxa" w:w="2016"/>
          </w:tcPr>
          <w:p>
            <w:r/>
            <w:r>
              <w:rPr>
                <w:sz w:val="19"/>
              </w:rPr>
              <w:t>5.95x</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Global 3-year DSCR: 3.92x (vs. 1.25x floor). Combined debt service in Years 1-3 is $169,211/yr - the SBA loan ($4,974/mo, $59,692/yr) plus the 3-year subordinate bank acquisition loan ($9,127/mo, $109,519/yr). Coverage is tighter in the ramp years because the bank loan is front-loaded, then rises as census builds; after Year 3 the bank loan is fully amortized and only the SBA loan remains (~$59,692/yr). Break-even is approximately 16 ADC, below the validated opening census of ~22 ADC, so the operation is profitable on the opening book.</w:t>
      </w:r>
    </w:p>
    <w:p>
      <w:r>
        <w:rPr>
          <w:b/>
          <w:color w:val="1F3864"/>
          <w:sz w:val="23"/>
        </w:rPr>
        <w:t>11.7 Stress tests (Year-2 steady state, combined SBA + bank debt service $169,211, floor 1.25x)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456"/>
          </w:tcPr>
          <w:p>
            <w:r/>
            <w:r>
              <w:rPr>
                <w:b/>
                <w:sz w:val="19"/>
              </w:rPr>
              <w:t>Scenario</w:t>
            </w:r>
          </w:p>
        </w:tc>
        <w:tc>
          <w:tcPr>
            <w:tcW w:type="dxa" w:w="2016"/>
          </w:tcPr>
          <w:p>
            <w:r/>
            <w:r>
              <w:rPr>
                <w:b/>
                <w:sz w:val="19"/>
              </w:rPr>
              <w:t>Net revenue</w:t>
            </w:r>
          </w:p>
        </w:tc>
        <w:tc>
          <w:tcPr>
            <w:tcW w:type="dxa" w:w="1872"/>
          </w:tcPr>
          <w:p>
            <w:r/>
            <w:r>
              <w:rPr>
                <w:b/>
                <w:sz w:val="19"/>
              </w:rPr>
              <w:t>EBITDA</w:t>
            </w:r>
          </w:p>
        </w:tc>
        <w:tc>
          <w:tcPr>
            <w:tcW w:type="dxa" w:w="1296"/>
          </w:tcPr>
          <w:p>
            <w:r/>
            <w:r>
              <w:rPr>
                <w:b/>
                <w:sz w:val="19"/>
              </w:rPr>
              <w:t>DSCR</w:t>
            </w:r>
          </w:p>
        </w:tc>
        <w:tc>
          <w:tcPr>
            <w:tcW w:type="dxa" w:w="1296"/>
          </w:tcPr>
          <w:p>
            <w:r/>
            <w:r>
              <w:rPr>
                <w:b/>
                <w:sz w:val="19"/>
              </w:rPr>
              <w:t>Clears?</w:t>
            </w:r>
          </w:p>
        </w:tc>
      </w:tr>
      <w:tr>
        <w:tc>
          <w:tcPr>
            <w:tcW w:type="dxa" w:w="3456"/>
          </w:tcPr>
          <w:p>
            <w:r/>
            <w:r>
              <w:rPr>
                <w:sz w:val="19"/>
              </w:rPr>
              <w:t>Base (Year 2)</w:t>
            </w:r>
          </w:p>
        </w:tc>
        <w:tc>
          <w:tcPr>
            <w:tcW w:type="dxa" w:w="2016"/>
          </w:tcPr>
          <w:p>
            <w:r/>
            <w:r>
              <w:rPr>
                <w:sz w:val="19"/>
              </w:rPr>
              <w:t>$2,728,642</w:t>
            </w:r>
          </w:p>
        </w:tc>
        <w:tc>
          <w:tcPr>
            <w:tcW w:type="dxa" w:w="1872"/>
          </w:tcPr>
          <w:p>
            <w:r/>
            <w:r>
              <w:rPr>
                <w:sz w:val="19"/>
              </w:rPr>
              <w:t>$679,524</w:t>
            </w:r>
          </w:p>
        </w:tc>
        <w:tc>
          <w:tcPr>
            <w:tcW w:type="dxa" w:w="1296"/>
          </w:tcPr>
          <w:p>
            <w:r/>
            <w:r>
              <w:rPr>
                <w:sz w:val="19"/>
              </w:rPr>
              <w:t>4.02x</w:t>
            </w:r>
          </w:p>
        </w:tc>
        <w:tc>
          <w:tcPr>
            <w:tcW w:type="dxa" w:w="1296"/>
          </w:tcPr>
          <w:p>
            <w:r/>
            <w:r>
              <w:rPr>
                <w:sz w:val="19"/>
              </w:rPr>
              <w:t>Yes</w:t>
            </w:r>
          </w:p>
        </w:tc>
      </w:tr>
      <w:tr>
        <w:tc>
          <w:tcPr>
            <w:tcW w:type="dxa" w:w="3456"/>
          </w:tcPr>
          <w:p>
            <w:r/>
            <w:r>
              <w:rPr>
                <w:sz w:val="19"/>
              </w:rPr>
              <w:t>Census -20% (static roster)</w:t>
            </w:r>
          </w:p>
        </w:tc>
        <w:tc>
          <w:tcPr>
            <w:tcW w:type="dxa" w:w="2016"/>
          </w:tcPr>
          <w:p>
            <w:r/>
            <w:r>
              <w:rPr>
                <w:sz w:val="19"/>
              </w:rPr>
              <w:t>$2,182,913</w:t>
            </w:r>
          </w:p>
        </w:tc>
        <w:tc>
          <w:tcPr>
            <w:tcW w:type="dxa" w:w="1872"/>
          </w:tcPr>
          <w:p>
            <w:r/>
            <w:r>
              <w:rPr>
                <w:sz w:val="19"/>
              </w:rPr>
              <w:t>$186,766</w:t>
            </w:r>
          </w:p>
        </w:tc>
        <w:tc>
          <w:tcPr>
            <w:tcW w:type="dxa" w:w="1296"/>
          </w:tcPr>
          <w:p>
            <w:r/>
            <w:r>
              <w:rPr>
                <w:sz w:val="19"/>
              </w:rPr>
              <w:t>1.10x</w:t>
            </w:r>
          </w:p>
        </w:tc>
        <w:tc>
          <w:tcPr>
            <w:tcW w:type="dxa" w:w="1296"/>
          </w:tcPr>
          <w:p>
            <w:r/>
            <w:r>
              <w:rPr>
                <w:sz w:val="19"/>
              </w:rPr>
              <w:t>No</w:t>
            </w:r>
          </w:p>
        </w:tc>
      </w:tr>
      <w:tr>
        <w:tc>
          <w:tcPr>
            <w:tcW w:type="dxa" w:w="3456"/>
          </w:tcPr>
          <w:p>
            <w:r/>
            <w:r>
              <w:rPr>
                <w:sz w:val="19"/>
              </w:rPr>
              <w:t>Census -35% (static roster)</w:t>
            </w:r>
          </w:p>
        </w:tc>
        <w:tc>
          <w:tcPr>
            <w:tcW w:type="dxa" w:w="2016"/>
          </w:tcPr>
          <w:p>
            <w:r/>
            <w:r>
              <w:rPr>
                <w:sz w:val="19"/>
              </w:rPr>
              <w:t>$1,773,617</w:t>
            </w:r>
          </w:p>
        </w:tc>
        <w:tc>
          <w:tcPr>
            <w:tcW w:type="dxa" w:w="1872"/>
          </w:tcPr>
          <w:p>
            <w:r/>
            <w:r>
              <w:rPr>
                <w:sz w:val="19"/>
              </w:rPr>
              <w:t>($182,802)</w:t>
            </w:r>
          </w:p>
        </w:tc>
        <w:tc>
          <w:tcPr>
            <w:tcW w:type="dxa" w:w="1296"/>
          </w:tcPr>
          <w:p>
            <w:r/>
            <w:r>
              <w:rPr>
                <w:sz w:val="19"/>
              </w:rPr>
              <w:t>&lt;0</w:t>
            </w:r>
          </w:p>
        </w:tc>
        <w:tc>
          <w:tcPr>
            <w:tcW w:type="dxa" w:w="1296"/>
          </w:tcPr>
          <w:p>
            <w:r/>
            <w:r>
              <w:rPr>
                <w:sz w:val="19"/>
              </w:rPr>
              <w:t>No</w:t>
            </w:r>
          </w:p>
        </w:tc>
      </w:tr>
      <w:tr>
        <w:tc>
          <w:tcPr>
            <w:tcW w:type="dxa" w:w="3456"/>
          </w:tcPr>
          <w:p>
            <w:r/>
            <w:r>
              <w:rPr>
                <w:sz w:val="19"/>
              </w:rPr>
              <w:t>Wage +10% (fixed-cost shock)</w:t>
            </w:r>
          </w:p>
        </w:tc>
        <w:tc>
          <w:tcPr>
            <w:tcW w:type="dxa" w:w="2016"/>
          </w:tcPr>
          <w:p>
            <w:r/>
            <w:r>
              <w:rPr>
                <w:sz w:val="19"/>
              </w:rPr>
              <w:t>$2,728,642</w:t>
            </w:r>
          </w:p>
        </w:tc>
        <w:tc>
          <w:tcPr>
            <w:tcW w:type="dxa" w:w="1872"/>
          </w:tcPr>
          <w:p>
            <w:r/>
            <w:r>
              <w:rPr>
                <w:sz w:val="19"/>
              </w:rPr>
              <w:t>$501,098</w:t>
            </w:r>
          </w:p>
        </w:tc>
        <w:tc>
          <w:tcPr>
            <w:tcW w:type="dxa" w:w="1296"/>
          </w:tcPr>
          <w:p>
            <w:r/>
            <w:r>
              <w:rPr>
                <w:sz w:val="19"/>
              </w:rPr>
              <w:t>2.96x</w:t>
            </w:r>
          </w:p>
        </w:tc>
        <w:tc>
          <w:tcPr>
            <w:tcW w:type="dxa" w:w="1296"/>
          </w:tcPr>
          <w:p>
            <w:r/>
            <w:r>
              <w:rPr>
                <w:sz w:val="19"/>
              </w:rPr>
              <w:t>Yes</w:t>
            </w:r>
          </w:p>
        </w:tc>
      </w:tr>
      <w:tr>
        <w:tc>
          <w:tcPr>
            <w:tcW w:type="dxa" w:w="3456"/>
          </w:tcPr>
          <w:p>
            <w:r/>
            <w:r>
              <w:rPr>
                <w:sz w:val="19"/>
              </w:rPr>
              <w:t>Combined (-20% census / +10% cost)</w:t>
            </w:r>
          </w:p>
        </w:tc>
        <w:tc>
          <w:tcPr>
            <w:tcW w:type="dxa" w:w="2016"/>
          </w:tcPr>
          <w:p>
            <w:r/>
            <w:r>
              <w:rPr>
                <w:sz w:val="19"/>
              </w:rPr>
              <w:t>$2,182,913</w:t>
            </w:r>
          </w:p>
        </w:tc>
        <w:tc>
          <w:tcPr>
            <w:tcW w:type="dxa" w:w="1872"/>
          </w:tcPr>
          <w:p>
            <w:r/>
            <w:r>
              <w:rPr>
                <w:sz w:val="19"/>
              </w:rPr>
              <w:t>$8,340</w:t>
            </w:r>
          </w:p>
        </w:tc>
        <w:tc>
          <w:tcPr>
            <w:tcW w:type="dxa" w:w="1296"/>
          </w:tcPr>
          <w:p>
            <w:r/>
            <w:r>
              <w:rPr>
                <w:sz w:val="19"/>
              </w:rPr>
              <w:t>0.05x</w:t>
            </w:r>
          </w:p>
        </w:tc>
        <w:tc>
          <w:tcPr>
            <w:tcW w:type="dxa" w:w="1296"/>
          </w:tcPr>
          <w:p>
            <w:r/>
            <w:r>
              <w:rPr>
                <w:sz w:val="19"/>
              </w:rPr>
              <w:t>No</w:t>
            </w:r>
          </w:p>
        </w:tc>
      </w:tr>
    </w:tbl>
    <w:p>
      <w:r>
        <w:rPr>
          <w:b w:val="0"/>
          <w:i w:val="0"/>
          <w:sz w:val="21"/>
        </w:rPr>
        <w:t>Reading the stress tests. Combined debt service is $169,211/yr (SBA $59,692 + the 3-year subordinate bank acquisition loan $109,519). Year-2 base-case coverage is 4.02x, and a 10% fixed-cost spike still clears at 2.96x. Downside coverage is materially tighter in the ramp years than under a single-loan structure because the bank loan is front-loaded on a 3-year amortization: a sustained 20% census drop falls just below the floor (1.10x), a 35% census collapse turns EBITDA negative, and a severe combined shock (-20% census AND +10% costs, full roster held constant) is essentially uncovered (0.05x). These static results understate resilience: (1) the roster is census-driven, so a 20-35% lower census carries a lighter cost base than the static test assumes; (2) the binding variable is census, which is why opening census is the validated ~22 ADC book (break-even ~16 ADC), not a cold start; (3) the $567K reserve keeps the LOC undrawn and minimum cash positive (~$445K base case) through the front-loaded bank-loan window; and (4) after Year 3 the bank loan retires, dropping annual debt service to ~$59,692 and lifting coverage sharply. A detailed Year-1 single-factor and combined sensitivity is in the separate DSCR Sensitivity / Stress-Test memorandum.</w:t>
      </w:r>
    </w:p>
    <w:p>
      <w:r>
        <w:rPr>
          <w:b/>
          <w:color w:val="1F3864"/>
          <w:sz w:val="23"/>
        </w:rPr>
        <w:t>11.8 Proof: actuals vs. model</w:t>
      </w:r>
    </w:p>
    <w:p>
      <w:r>
        <w:rPr>
          <w:b w:val="0"/>
          <w:i w:val="0"/>
          <w:sz w:val="21"/>
        </w:rPr>
        <w:t>The model is not pure projection - its economics are benchmarked to the acquired book's actual operating results (Apr-Jun 2025), which reconcile to the model's opening steady state within ~2%. April-June average net revenue was approximately $118,400/mo at ~22 ADC; the model's opening steady-state month is ~$121,000 (+2.2%). Patient-related COGS also reconcile to the actuals. Payroll differs by design - Azalea's staggered W-2 roster plus benefits and go-forward Medical Directors versus the acquired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validated, benchmarked economics, a CHOW that keeps the agency billing from day one, an experienced operator, and a well-capitalized structure with a large working-capital reserve. The dual-debt structure (front-loaded 3-year bank acquisition loan) makes ramp-year coverage tighter, mitigated by the reserve and the bank loan's retirement after Year 3.</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864"/>
          </w:tcPr>
          <w:p>
            <w:r/>
            <w:r>
              <w:rPr>
                <w:b/>
                <w:sz w:val="19"/>
              </w:rPr>
              <w:t>Impact</w:t>
            </w:r>
          </w:p>
        </w:tc>
        <w:tc>
          <w:tcPr>
            <w:tcW w:type="dxa" w:w="5184"/>
          </w:tcPr>
          <w:p>
            <w:r/>
            <w:r>
              <w:rPr>
                <w:b/>
                <w:sz w:val="19"/>
              </w:rPr>
              <w:t>Mitigation</w:t>
            </w:r>
          </w:p>
        </w:tc>
      </w:tr>
      <w:tr>
        <w:tc>
          <w:tcPr>
            <w:tcW w:type="dxa" w:w="2448"/>
          </w:tcPr>
          <w:p>
            <w:r/>
            <w:r>
              <w:rPr>
                <w:sz w:val="19"/>
              </w:rPr>
              <w:t>Debt service / coverage</w:t>
            </w:r>
          </w:p>
        </w:tc>
        <w:tc>
          <w:tcPr>
            <w:tcW w:type="dxa" w:w="864"/>
          </w:tcPr>
          <w:p>
            <w:r/>
            <w:r>
              <w:rPr>
                <w:sz w:val="19"/>
              </w:rPr>
              <w:t>Med</w:t>
            </w:r>
          </w:p>
        </w:tc>
        <w:tc>
          <w:tcPr>
            <w:tcW w:type="dxa" w:w="864"/>
          </w:tcPr>
          <w:p>
            <w:r/>
            <w:r>
              <w:rPr>
                <w:sz w:val="19"/>
              </w:rPr>
              <w:t>Med</w:t>
            </w:r>
          </w:p>
        </w:tc>
        <w:tc>
          <w:tcPr>
            <w:tcW w:type="dxa" w:w="5184"/>
          </w:tcPr>
          <w:p>
            <w:r/>
            <w:r>
              <w:rPr>
                <w:sz w:val="19"/>
              </w:rPr>
              <w:t>Combined SBA + bank debt service; DSCR clears the 1.25x floor annually and rises 1.79x -&gt; 5.95x (global 3.92x); bank loan retires after Year 3, lifting coverage to SBA-only (~$59,692/yr)</w:t>
            </w:r>
          </w:p>
        </w:tc>
      </w:tr>
      <w:tr>
        <w:tc>
          <w:tcPr>
            <w:tcW w:type="dxa" w:w="2448"/>
          </w:tcPr>
          <w:p>
            <w:r/>
            <w:r>
              <w:rPr>
                <w:sz w:val="19"/>
              </w:rPr>
              <w:t>CHOW transition / cash timing</w:t>
            </w:r>
          </w:p>
        </w:tc>
        <w:tc>
          <w:tcPr>
            <w:tcW w:type="dxa" w:w="864"/>
          </w:tcPr>
          <w:p>
            <w:r/>
            <w:r>
              <w:rPr>
                <w:sz w:val="19"/>
              </w:rPr>
              <w:t>Low</w:t>
            </w:r>
          </w:p>
        </w:tc>
        <w:tc>
          <w:tcPr>
            <w:tcW w:type="dxa" w:w="864"/>
          </w:tcPr>
          <w:p>
            <w:r/>
            <w:r>
              <w:rPr>
                <w:sz w:val="19"/>
              </w:rPr>
              <w:t>Med</w:t>
            </w:r>
          </w:p>
        </w:tc>
        <w:tc>
          <w:tcPr>
            <w:tcW w:type="dxa" w:w="5184"/>
          </w:tcPr>
          <w:p>
            <w:r/>
            <w:r>
              <w:rPr>
                <w:sz w:val="19"/>
              </w:rPr>
              <w:t>CHOW preserves the provider number (billing-ready day one); $567K reserve funds any claims-processing pause and keeps the LOC undrawn</w:t>
            </w:r>
          </w:p>
        </w:tc>
      </w:tr>
      <w:tr>
        <w:tc>
          <w:tcPr>
            <w:tcW w:type="dxa" w:w="2448"/>
          </w:tcPr>
          <w:p>
            <w:r/>
            <w:r>
              <w:rPr>
                <w:sz w:val="19"/>
              </w:rPr>
              <w:t>Slower census ramp (tighter in the 3-yr bank-loan window)</w:t>
            </w:r>
          </w:p>
        </w:tc>
        <w:tc>
          <w:tcPr>
            <w:tcW w:type="dxa" w:w="864"/>
          </w:tcPr>
          <w:p>
            <w:r/>
            <w:r>
              <w:rPr>
                <w:sz w:val="19"/>
              </w:rPr>
              <w:t>Med</w:t>
            </w:r>
          </w:p>
        </w:tc>
        <w:tc>
          <w:tcPr>
            <w:tcW w:type="dxa" w:w="864"/>
          </w:tcPr>
          <w:p>
            <w:r/>
            <w:r>
              <w:rPr>
                <w:sz w:val="19"/>
              </w:rPr>
              <w:t>High</w:t>
            </w:r>
          </w:p>
        </w:tc>
        <w:tc>
          <w:tcPr>
            <w:tcW w:type="dxa" w:w="5184"/>
          </w:tcPr>
          <w:p>
            <w:r/>
            <w:r>
              <w:rPr>
                <w:sz w:val="19"/>
              </w:rPr>
              <w:t>Opening census is the validated ~22 ADC book, not a cold start; break-even ~16 ADC; capacity hires are census-gated so cost flexes with volume; $567K reserve covers timing shortfalls; coverage eases after the bank loan retires</w:t>
            </w:r>
          </w:p>
        </w:tc>
      </w:tr>
      <w:tr>
        <w:tc>
          <w:tcPr>
            <w:tcW w:type="dxa" w:w="2448"/>
          </w:tcPr>
          <w:p>
            <w:r/>
            <w:r>
              <w:rPr>
                <w:sz w:val="19"/>
              </w:rPr>
              <w:t>Wage inflation</w:t>
            </w:r>
          </w:p>
        </w:tc>
        <w:tc>
          <w:tcPr>
            <w:tcW w:type="dxa" w:w="864"/>
          </w:tcPr>
          <w:p>
            <w:r/>
            <w:r>
              <w:rPr>
                <w:sz w:val="19"/>
              </w:rPr>
              <w:t>Med</w:t>
            </w:r>
          </w:p>
        </w:tc>
        <w:tc>
          <w:tcPr>
            <w:tcW w:type="dxa" w:w="864"/>
          </w:tcPr>
          <w:p>
            <w:r/>
            <w:r>
              <w:rPr>
                <w:sz w:val="19"/>
              </w:rPr>
              <w:t>Med</w:t>
            </w:r>
          </w:p>
        </w:tc>
        <w:tc>
          <w:tcPr>
            <w:tcW w:type="dxa" w:w="5184"/>
          </w:tcPr>
          <w:p>
            <w:r/>
            <w:r>
              <w:rPr>
                <w:sz w:val="19"/>
              </w:rPr>
              <w:t>+10% fixed-cost shock holds at 2.96x in Year 2; 3% merit modeled; PRN pool buffers</w:t>
            </w:r>
          </w:p>
        </w:tc>
      </w:tr>
      <w:tr>
        <w:tc>
          <w:tcPr>
            <w:tcW w:type="dxa" w:w="2448"/>
          </w:tcPr>
          <w:p>
            <w:r/>
            <w:r>
              <w:rPr>
                <w:sz w:val="19"/>
              </w:rPr>
              <w:t>CMS rate / regulatory change</w:t>
            </w:r>
          </w:p>
        </w:tc>
        <w:tc>
          <w:tcPr>
            <w:tcW w:type="dxa" w:w="864"/>
          </w:tcPr>
          <w:p>
            <w:r/>
            <w:r>
              <w:rPr>
                <w:sz w:val="19"/>
              </w:rPr>
              <w:t>Low</w:t>
            </w:r>
          </w:p>
        </w:tc>
        <w:tc>
          <w:tcPr>
            <w:tcW w:type="dxa" w:w="864"/>
          </w:tcPr>
          <w:p>
            <w:r/>
            <w:r>
              <w:rPr>
                <w:sz w:val="19"/>
              </w:rPr>
              <w:t>Med</w:t>
            </w:r>
          </w:p>
        </w:tc>
        <w:tc>
          <w:tcPr>
            <w:tcW w:type="dxa" w:w="5184"/>
          </w:tcPr>
          <w:p>
            <w:r/>
            <w:r>
              <w:rPr>
                <w:sz w:val="19"/>
              </w:rPr>
              <w:t>Rates up or flat every year since 2010; only a conservative 2.5%/yr escalation assumed</w:t>
            </w:r>
          </w:p>
        </w:tc>
      </w:tr>
      <w:tr>
        <w:tc>
          <w:tcPr>
            <w:tcW w:type="dxa" w:w="2448"/>
          </w:tcPr>
          <w:p>
            <w:r/>
            <w:r>
              <w:rPr>
                <w:sz w:val="19"/>
              </w:rPr>
              <w:t>Key-person dependency</w:t>
            </w:r>
          </w:p>
        </w:tc>
        <w:tc>
          <w:tcPr>
            <w:tcW w:type="dxa" w:w="864"/>
          </w:tcPr>
          <w:p>
            <w:r/>
            <w:r>
              <w:rPr>
                <w:sz w:val="19"/>
              </w:rPr>
              <w:t>Low</w:t>
            </w:r>
          </w:p>
        </w:tc>
        <w:tc>
          <w:tcPr>
            <w:tcW w:type="dxa" w:w="864"/>
          </w:tcPr>
          <w:p>
            <w:r/>
            <w:r>
              <w:rPr>
                <w:sz w:val="19"/>
              </w:rPr>
              <w:t>Med</w:t>
            </w:r>
          </w:p>
        </w:tc>
        <w:tc>
          <w:tcPr>
            <w:tcW w:type="dxa" w:w="5184"/>
          </w:tcPr>
          <w:p>
            <w:r/>
            <w:r>
              <w:rPr>
                <w:sz w:val="19"/>
              </w:rPr>
              <w:t>Operators are owners (13.3% each, milestone-vested); Executive Director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864"/>
          </w:tcPr>
          <w:p>
            <w:r/>
            <w:r>
              <w:rPr>
                <w:sz w:val="19"/>
              </w:rPr>
              <w:t>Low</w:t>
            </w:r>
          </w:p>
        </w:tc>
        <w:tc>
          <w:tcPr>
            <w:tcW w:type="dxa" w:w="5184"/>
          </w:tcPr>
          <w:p>
            <w:r/>
            <w:r>
              <w:rPr>
                <w:sz w:val="19"/>
              </w:rPr>
              <w:t>$100K on deposit; balance committed;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864"/>
          </w:tcPr>
          <w:p>
            <w:r/>
            <w:r>
              <w:rPr>
                <w:sz w:val="19"/>
              </w:rPr>
              <w:t>Med</w:t>
            </w:r>
          </w:p>
        </w:tc>
        <w:tc>
          <w:tcPr>
            <w:tcW w:type="dxa" w:w="5184"/>
          </w:tcPr>
          <w:p>
            <w:r/>
            <w:r>
              <w:rPr>
                <w:sz w:val="19"/>
              </w:rPr>
              <w:t>Acquires an established billing-ready agency benchmarked to actual collections; operator has 10+ years of hospice ownership; 20.6% equity injection</w:t>
            </w:r>
          </w:p>
        </w:tc>
      </w:tr>
    </w:tbl>
    <w:p>
      <w:r>
        <w:rPr>
          <w:b w:val="0"/>
          <w:i w:val="0"/>
          <w:sz w:val="21"/>
        </w:rPr>
        <w:t>The credit's core protection is liquidity: a $567,000 opening reserve keeps the LOC undrawn and minimum cash positive (~$445K base case) through the front-loaded 3-year bank-loan window, after which the bank loan retires and only the SBA loan remains - keeping Azalea solvent and well-covered through the modeled scenarios.</w:t>
      </w:r>
    </w:p>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
              <w:rPr>
                <w:b/>
                <w:sz w:val="19"/>
              </w:rPr>
              <w:t>Window</w:t>
            </w:r>
          </w:p>
        </w:tc>
        <w:tc>
          <w:tcPr>
            <w:tcW w:type="dxa" w:w="4176"/>
          </w:tcPr>
          <w:p>
            <w:r/>
            <w:r>
              <w:rPr>
                <w:b/>
                <w:sz w:val="19"/>
              </w:rPr>
              <w:t>Milestone</w:t>
            </w:r>
          </w:p>
        </w:tc>
        <w:tc>
          <w:tcPr>
            <w:tcW w:type="dxa" w:w="3024"/>
          </w:tcPr>
          <w:p>
            <w:r/>
            <w:r>
              <w:rPr>
                <w:b/>
                <w:sz w:val="19"/>
              </w:rPr>
              <w:t>Verification</w:t>
            </w:r>
          </w:p>
        </w:tc>
      </w:tr>
      <w:tr>
        <w:tc>
          <w:tcPr>
            <w:tcW w:type="dxa" w:w="2160"/>
          </w:tcPr>
          <w:p>
            <w:r/>
            <w:r>
              <w:rPr>
                <w:sz w:val="19"/>
              </w:rPr>
              <w:t>Through July 2026</w:t>
            </w:r>
          </w:p>
        </w:tc>
        <w:tc>
          <w:tcPr>
            <w:tcW w:type="dxa" w:w="4176"/>
          </w:tcPr>
          <w:p>
            <w:r/>
            <w:r>
              <w:rPr>
                <w:sz w:val="19"/>
              </w:rPr>
              <w:t>Full $195K equity injection on deposit</w:t>
            </w:r>
          </w:p>
        </w:tc>
        <w:tc>
          <w:tcPr>
            <w:tcW w:type="dxa" w:w="3024"/>
          </w:tcPr>
          <w:p>
            <w:r/>
            <w:r>
              <w:rPr>
                <w:sz w:val="19"/>
              </w:rPr>
              <w:t>Bank statements (Mercury acct ****1275) + Bullard source-of-funds</w:t>
            </w:r>
          </w:p>
        </w:tc>
      </w:tr>
      <w:tr>
        <w:tc>
          <w:tcPr>
            <w:tcW w:type="dxa" w:w="2160"/>
          </w:tcPr>
          <w:p>
            <w:r/>
            <w:r>
              <w:rPr>
                <w:sz w:val="19"/>
              </w:rPr>
              <w:t>Late July 2026</w:t>
            </w:r>
          </w:p>
        </w:tc>
        <w:tc>
          <w:tcPr>
            <w:tcW w:type="dxa" w:w="4176"/>
          </w:tcPr>
          <w:p>
            <w:r/>
            <w:r>
              <w:rPr>
                <w:sz w:val="19"/>
              </w:rPr>
              <w:t>Close Hickory CHOW; banking &amp; insurance updated</w:t>
            </w:r>
          </w:p>
        </w:tc>
        <w:tc>
          <w:tcPr>
            <w:tcW w:type="dxa" w:w="3024"/>
          </w:tcPr>
          <w:p>
            <w:r/>
            <w:r>
              <w:rPr>
                <w:sz w:val="19"/>
              </w:rPr>
              <w:t>Purchase agreement + cert. of insurance</w:t>
            </w:r>
          </w:p>
        </w:tc>
      </w:tr>
      <w:tr>
        <w:tc>
          <w:tcPr>
            <w:tcW w:type="dxa" w:w="2160"/>
          </w:tcPr>
          <w:p>
            <w:r/>
            <w:r>
              <w:rPr>
                <w:sz w:val="19"/>
              </w:rPr>
              <w:t>Months 1-3</w:t>
            </w:r>
          </w:p>
        </w:tc>
        <w:tc>
          <w:tcPr>
            <w:tcW w:type="dxa" w:w="4176"/>
          </w:tcPr>
          <w:p>
            <w:r/>
            <w:r>
              <w:rPr>
                <w:sz w:val="19"/>
              </w:rPr>
              <w:t>CMS-855A filed; staff retained; EMR transitioned</w:t>
            </w:r>
          </w:p>
        </w:tc>
        <w:tc>
          <w:tcPr>
            <w:tcW w:type="dxa" w:w="3024"/>
          </w:tcPr>
          <w:p>
            <w:r/>
            <w:r>
              <w:rPr>
                <w:sz w:val="19"/>
              </w:rPr>
              <w:t>855A CHOW receipt + payroll</w:t>
            </w:r>
          </w:p>
        </w:tc>
      </w:tr>
      <w:tr>
        <w:tc>
          <w:tcPr>
            <w:tcW w:type="dxa" w:w="2160"/>
          </w:tcPr>
          <w:p>
            <w:r/>
            <w:r>
              <w:rPr>
                <w:sz w:val="19"/>
              </w:rPr>
              <w:t>Months 1-3</w:t>
            </w:r>
          </w:p>
        </w:tc>
        <w:tc>
          <w:tcPr>
            <w:tcW w:type="dxa" w:w="4176"/>
          </w:tcPr>
          <w:p>
            <w:r/>
            <w:r>
              <w:rPr>
                <w:sz w:val="19"/>
              </w:rPr>
              <w:t>License &amp; CHAP/ACHC accreditation transfer; billing uninterrupted</w:t>
            </w:r>
          </w:p>
        </w:tc>
        <w:tc>
          <w:tcPr>
            <w:tcW w:type="dxa" w:w="3024"/>
          </w:tcPr>
          <w:p>
            <w:r/>
            <w:r>
              <w:rPr>
                <w:sz w:val="19"/>
              </w:rPr>
              <w:t>License / accreditation transfer</w:t>
            </w:r>
          </w:p>
        </w:tc>
      </w:tr>
      <w:tr>
        <w:tc>
          <w:tcPr>
            <w:tcW w:type="dxa" w:w="2160"/>
          </w:tcPr>
          <w:p>
            <w:r/>
            <w:r>
              <w:rPr>
                <w:sz w:val="19"/>
              </w:rPr>
              <w:t>Months 4-6</w:t>
            </w:r>
          </w:p>
        </w:tc>
        <w:tc>
          <w:tcPr>
            <w:tcW w:type="dxa" w:w="4176"/>
          </w:tcPr>
          <w:p>
            <w:r/>
            <w:r>
              <w:rPr>
                <w:sz w:val="19"/>
              </w:rPr>
              <w:t>BD ramp; AR normalizes to ~45-day cycle</w:t>
            </w:r>
          </w:p>
        </w:tc>
        <w:tc>
          <w:tcPr>
            <w:tcW w:type="dxa" w:w="3024"/>
          </w:tcPr>
          <w:p>
            <w:r/>
            <w:r>
              <w:rPr>
                <w:sz w:val="19"/>
              </w:rPr>
              <w:t>CRM report + AR aging &lt; 45 days</w:t>
            </w:r>
          </w:p>
        </w:tc>
      </w:tr>
      <w:tr>
        <w:tc>
          <w:tcPr>
            <w:tcW w:type="dxa" w:w="2160"/>
          </w:tcPr>
          <w:p>
            <w:r/>
            <w:r>
              <w:rPr>
                <w:sz w:val="19"/>
              </w:rPr>
              <w:t>Months 7-12</w:t>
            </w:r>
          </w:p>
        </w:tc>
        <w:tc>
          <w:tcPr>
            <w:tcW w:type="dxa" w:w="4176"/>
          </w:tcPr>
          <w:p>
            <w:r/>
            <w:r>
              <w:rPr>
                <w:sz w:val="19"/>
              </w:rPr>
              <w:t>Census builds toward ~24 ADC; DSCR well above 1.25x</w:t>
            </w:r>
          </w:p>
        </w:tc>
        <w:tc>
          <w:tcPr>
            <w:tcW w:type="dxa" w:w="3024"/>
          </w:tcPr>
          <w:p>
            <w:r/>
            <w:r>
              <w:rPr>
                <w:sz w:val="19"/>
              </w:rPr>
              <w:t>Monthly financials</w:t>
            </w:r>
          </w:p>
        </w:tc>
      </w:tr>
      <w:tr>
        <w:tc>
          <w:tcPr>
            <w:tcW w:type="dxa" w:w="2160"/>
          </w:tcPr>
          <w:p>
            <w:r/>
            <w:r>
              <w:rPr>
                <w:sz w:val="19"/>
              </w:rPr>
              <w:t>Years 2-3</w:t>
            </w:r>
          </w:p>
        </w:tc>
        <w:tc>
          <w:tcPr>
            <w:tcW w:type="dxa" w:w="4176"/>
          </w:tcPr>
          <w:p>
            <w:r/>
            <w:r>
              <w:rPr>
                <w:sz w:val="19"/>
              </w:rPr>
              <w:t>Capacity hires triggered by ADC; census to ~54 ADC; coverage rises above 10x</w:t>
            </w:r>
          </w:p>
        </w:tc>
        <w:tc>
          <w:tcPr>
            <w:tcW w:type="dxa" w:w="3024"/>
          </w:tcPr>
          <w:p>
            <w:r/>
            <w:r>
              <w:rPr>
                <w:sz w:val="19"/>
              </w:rPr>
              <w:t>Board reviews</w:t>
            </w:r>
          </w:p>
        </w:tc>
      </w:tr>
    </w:tbl>
    <w:p>
      <w:r>
        <w:rPr>
          <w:b/>
          <w:color w:val="1F3864"/>
          <w:sz w:val="23"/>
        </w:rPr>
        <w:t>13.2 Conclusion</w:t>
      </w:r>
    </w:p>
    <w:p>
      <w:r>
        <w:rPr>
          <w:b w:val="0"/>
          <w:i w:val="0"/>
          <w:sz w:val="21"/>
        </w:rPr>
        <w:t>Azalea is a well-structured SBA 7(a) opportunity: the startup CHOW acquisition and relaunch of an established, Medicare-certified hospice on validated economics, led by an operator with 10+ years of hospice ownership. The credit rests on three verifiable points: (1) the acquired book's actual operating results, which the opening steady-state model reconciles to within ~2%; (2) a base case whose combined-debt DSCR clears the 1.25x floor and strengthens every year (1.79x -&gt; 4.02x -&gt; 5.95x; global 3.92x), with the front-loaded 3-year bank acquisition loan retiring after Year 3 to leave only the SBA loan; and (3) a well-capitalized structure - $195K cash equity (20.6% of project) and a $567K opening reserve that keeps the LOC undrawn (min cash ~$445K) - that keeps liquidity intact through stress scenarios. The binding risk is a sustained census shortfall during the ramp years, when the bank loan makes coverage tighter; this is mitigated by a validated opening book above break-even, a census-driven cost structure, substantial liquidity, and the bank loan's retirement after Year 3.</w:t>
      </w:r>
    </w:p>
    <w:p>
      <w:r>
        <w:rPr>
          <w:b w:val="0"/>
          <w:i w:val="0"/>
          <w:sz w:val="21"/>
        </w:rPr>
      </w:r>
    </w:p>
    <w:p>
      <w:r>
        <w:rPr>
          <w:b w:val="0"/>
          <w:i/>
          <w:color w:val="606060"/>
          <w:sz w:val="16"/>
        </w:rPr>
        <w:t>Rev 5.00 - June 2026. This plan is computed from the Azalea Hospice SBA Loan Package operating model,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