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5.00 AVANT basis | automated audit (sba_application/qa_package.py)</w:t>
      </w:r>
    </w:p>
    <w:p>
      <w:r>
        <w:rPr>
          <w:b/>
        </w:rPr>
        <w:t>RESULT: 41 of 41 checks passed.</w:t>
      </w:r>
    </w:p>
    <w:p>
      <w:r>
        <w:t>Scope: (1) canonical-fact matrix - every financial figure cited in any active document must equal the Rev 5.00 AVANT proforma output exactly; (2) stale blacklist - figures from superseded revisions (including the entire Refuge / Rev 4.10 structure) must appear nowhere in active documents, PDF form fields, or workbooks (already-sent Refuge-era drafts are retained as history and exempted);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(22 checks: balance-sheet integrity, collections conservation, census calibration, seller-note deferral and month-2 SBA takeout,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Rev7.00 AVANT.docx: all 26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Avant.docx: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Avant Rev3.00.xlsx: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Azalea_Hospice_Proforma_Rev5.00_AVANT.xlsx: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1a SBA 7a Checklist HIGHLIGHTED.docx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Avant.docx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Rev7.00 AVANT.docx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proforma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Avant.docx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Rev7.00 AVANT.docx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