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Refuge Hospice, LLC - Preliminary Information for FMV Evaluation</w:t>
      </w:r>
    </w:p>
    <w:p>
      <w:r>
        <w:rPr>
          <w:b/>
          <w:i w:val="0"/>
          <w:sz w:val="21"/>
        </w:rPr>
        <w:t>Prepared for William, healthfmv.com | Compiled from correspondence with the sellers (July 2-16, 2026) | 7/20/2026</w:t>
      </w:r>
    </w:p>
    <w:p>
      <w:r>
        <w:rPr>
          <w:b w:val="0"/>
          <w:i/>
          <w:sz w:val="21"/>
        </w:rPr>
        <w:t>This is a preliminary information package to start the valuation process. It is compiled directly from email correspondence and the purchase agreement in negotiation, not from audited records. Two items are flagged below because they are directly relevant to a license valuation and should be confirmed before the valuation is finalized.</w:t>
      </w:r>
    </w:p>
    <w:p>
      <w:pPr>
        <w:pStyle w:val="Heading1"/>
        <w:keepNext/>
      </w:pPr>
      <w:r>
        <w:rPr>
          <w:color w:val="1F3864"/>
        </w:rPr>
        <w:t>1. Entity and transaction summary</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2448"/>
          </w:tcPr>
          <w:p>
            <w:r/>
            <w:r>
              <w:rPr>
                <w:b/>
                <w:sz w:val="19"/>
              </w:rPr>
              <w:t>Item</w:t>
            </w:r>
          </w:p>
        </w:tc>
        <w:tc>
          <w:tcPr>
            <w:tcW w:type="dxa" w:w="6624"/>
          </w:tcPr>
          <w:p>
            <w:r/>
            <w:r>
              <w:rPr>
                <w:b/>
                <w:sz w:val="19"/>
              </w:rPr>
              <w:t>Detail</w:t>
            </w:r>
          </w:p>
        </w:tc>
      </w:tr>
      <w:tr>
        <w:tc>
          <w:tcPr>
            <w:tcW w:type="dxa" w:w="2448"/>
          </w:tcPr>
          <w:p>
            <w:r/>
            <w:r>
              <w:rPr>
                <w:sz w:val="19"/>
              </w:rPr>
              <w:t>Target entity</w:t>
            </w:r>
          </w:p>
        </w:tc>
        <w:tc>
          <w:tcPr>
            <w:tcW w:type="dxa" w:w="6624"/>
          </w:tcPr>
          <w:p>
            <w:r/>
            <w:r>
              <w:rPr>
                <w:sz w:val="19"/>
              </w:rPr>
              <w:t>Refuge Hospice, LLC, a Texas limited liability company</w:t>
            </w:r>
          </w:p>
        </w:tc>
      </w:tr>
      <w:tr>
        <w:tc>
          <w:tcPr>
            <w:tcW w:type="dxa" w:w="2448"/>
          </w:tcPr>
          <w:p>
            <w:r/>
            <w:r>
              <w:rPr>
                <w:sz w:val="19"/>
              </w:rPr>
              <w:t>Sellers</w:t>
            </w:r>
          </w:p>
        </w:tc>
        <w:tc>
          <w:tcPr>
            <w:tcW w:type="dxa" w:w="6624"/>
          </w:tcPr>
          <w:p>
            <w:r/>
            <w:r>
              <w:rPr>
                <w:sz w:val="19"/>
              </w:rPr>
              <w:t>Angel J. Resendiz and Dennis M. Hendrix, through DHJR Limited Partnership (4831 Whirlwind Drive, San Antonio, TX 78217)</w:t>
            </w:r>
          </w:p>
        </w:tc>
      </w:tr>
      <w:tr>
        <w:tc>
          <w:tcPr>
            <w:tcW w:type="dxa" w:w="2448"/>
          </w:tcPr>
          <w:p>
            <w:r/>
            <w:r>
              <w:rPr>
                <w:sz w:val="19"/>
              </w:rPr>
              <w:t>Buyer</w:t>
            </w:r>
          </w:p>
        </w:tc>
        <w:tc>
          <w:tcPr>
            <w:tcW w:type="dxa" w:w="6624"/>
          </w:tcPr>
          <w:p>
            <w:r/>
            <w:r>
              <w:rPr>
                <w:sz w:val="19"/>
              </w:rPr>
              <w:t>Tyler Hospice Hold, LLC, a Wyoming LLC (Geoff Schackmann, Managing Member)</w:t>
            </w:r>
          </w:p>
        </w:tc>
      </w:tr>
      <w:tr>
        <w:tc>
          <w:tcPr>
            <w:tcW w:type="dxa" w:w="2448"/>
          </w:tcPr>
          <w:p>
            <w:r/>
            <w:r>
              <w:rPr>
                <w:sz w:val="19"/>
              </w:rPr>
              <w:t>Broker / intermediary</w:t>
            </w:r>
          </w:p>
        </w:tc>
        <w:tc>
          <w:tcPr>
            <w:tcW w:type="dxa" w:w="6624"/>
          </w:tcPr>
          <w:p>
            <w:r/>
            <w:r>
              <w:rPr>
                <w:sz w:val="19"/>
              </w:rPr>
              <w:t>Jorge (jorge@journeyshospicetx.com / jorge@dhjrlp.com), introduced via a mutual contact (Ann)</w:t>
            </w:r>
          </w:p>
        </w:tc>
      </w:tr>
      <w:tr>
        <w:tc>
          <w:tcPr>
            <w:tcW w:type="dxa" w:w="2448"/>
          </w:tcPr>
          <w:p>
            <w:r/>
            <w:r>
              <w:rPr>
                <w:sz w:val="19"/>
              </w:rPr>
              <w:t>Structure</w:t>
            </w:r>
          </w:p>
        </w:tc>
        <w:tc>
          <w:tcPr>
            <w:tcW w:type="dxa" w:w="6624"/>
          </w:tcPr>
          <w:p>
            <w:r/>
            <w:r>
              <w:rPr>
                <w:sz w:val="19"/>
              </w:rPr>
              <w:t>Two-step transfer under the CMS 36-month post-certification ownership rule: 49% of membership interests at closing, remaining 51% on the first permissible date after the 36-month window</w:t>
            </w:r>
          </w:p>
        </w:tc>
      </w:tr>
      <w:tr>
        <w:tc>
          <w:tcPr>
            <w:tcW w:type="dxa" w:w="2448"/>
          </w:tcPr>
          <w:p>
            <w:r/>
            <w:r>
              <w:rPr>
                <w:sz w:val="19"/>
              </w:rPr>
              <w:t>Asking / agreed price</w:t>
            </w:r>
          </w:p>
        </w:tc>
        <w:tc>
          <w:tcPr>
            <w:tcW w:type="dxa" w:w="6624"/>
          </w:tcPr>
          <w:p>
            <w:r/>
            <w:r>
              <w:rPr>
                <w:sz w:val="19"/>
              </w:rPr>
              <w:t>$500,000 for 100% of the membership interests</w:t>
            </w:r>
          </w:p>
        </w:tc>
      </w:tr>
    </w:tbl>
    <w:p>
      <w:pPr>
        <w:pStyle w:val="Heading1"/>
        <w:keepNext/>
      </w:pPr>
      <w:r>
        <w:rPr>
          <w:color w:val="1F3864"/>
        </w:rPr>
        <w:t>2. License and certification detail (as represented by the sellers, 7/2/2026)</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2880"/>
          </w:tcPr>
          <w:p>
            <w:r/>
            <w:r>
              <w:rPr>
                <w:b/>
                <w:sz w:val="19"/>
              </w:rPr>
              <w:t>Item</w:t>
            </w:r>
          </w:p>
        </w:tc>
        <w:tc>
          <w:tcPr>
            <w:tcW w:type="dxa" w:w="6192"/>
          </w:tcPr>
          <w:p>
            <w:r/>
            <w:r>
              <w:rPr>
                <w:b/>
                <w:sz w:val="19"/>
              </w:rPr>
              <w:t>Detail</w:t>
            </w:r>
          </w:p>
        </w:tc>
      </w:tr>
      <w:tr>
        <w:tc>
          <w:tcPr>
            <w:tcW w:type="dxa" w:w="2880"/>
          </w:tcPr>
          <w:p>
            <w:r/>
            <w:r>
              <w:rPr>
                <w:sz w:val="19"/>
              </w:rPr>
              <w:t>License status</w:t>
            </w:r>
          </w:p>
        </w:tc>
        <w:tc>
          <w:tcPr>
            <w:tcW w:type="dxa" w:w="6192"/>
          </w:tcPr>
          <w:p>
            <w:r/>
            <w:r>
              <w:rPr>
                <w:sz w:val="19"/>
              </w:rPr>
              <w:t>Active</w:t>
            </w:r>
          </w:p>
        </w:tc>
      </w:tr>
      <w:tr>
        <w:tc>
          <w:tcPr>
            <w:tcW w:type="dxa" w:w="2880"/>
          </w:tcPr>
          <w:p>
            <w:r/>
            <w:r>
              <w:rPr>
                <w:sz w:val="19"/>
              </w:rPr>
              <w:t>Service area</w:t>
            </w:r>
          </w:p>
        </w:tc>
        <w:tc>
          <w:tcPr>
            <w:tcW w:type="dxa" w:w="6192"/>
          </w:tcPr>
          <w:p>
            <w:r/>
            <w:r>
              <w:rPr>
                <w:sz w:val="19"/>
              </w:rPr>
              <w:t>Texas HHSC Region 8 - Atascosa, Bandera, Bexar (San Antonio), Calhoun, Comal, DeWitt, Dimmit, Edwards, Frio, Gillespie, Goliad, Gonzales, Guadalupe, Jackson, Karnes, Kendall, Kerr, Kinney, La Salle, Lavaca, Maverick, Medina, Real, Uvalde, Val Verde, Victoria, Wilson, Zavala</w:t>
            </w:r>
          </w:p>
        </w:tc>
      </w:tr>
      <w:tr>
        <w:tc>
          <w:tcPr>
            <w:tcW w:type="dxa" w:w="2880"/>
          </w:tcPr>
          <w:p>
            <w:r/>
            <w:r>
              <w:rPr>
                <w:sz w:val="19"/>
              </w:rPr>
              <w:t>CMS Certification Number (CCN/PTAN)</w:t>
            </w:r>
          </w:p>
        </w:tc>
        <w:tc>
          <w:tcPr>
            <w:tcW w:type="dxa" w:w="6192"/>
          </w:tcPr>
          <w:p>
            <w:r/>
            <w:r>
              <w:rPr>
                <w:sz w:val="19"/>
              </w:rPr>
              <w:t>A91679</w:t>
            </w:r>
          </w:p>
        </w:tc>
      </w:tr>
      <w:tr>
        <w:tc>
          <w:tcPr>
            <w:tcW w:type="dxa" w:w="2880"/>
          </w:tcPr>
          <w:p>
            <w:r/>
            <w:r>
              <w:rPr>
                <w:sz w:val="19"/>
              </w:rPr>
              <w:t>PECOS enrollment status</w:t>
            </w:r>
          </w:p>
        </w:tc>
        <w:tc>
          <w:tcPr>
            <w:tcW w:type="dxa" w:w="6192"/>
          </w:tcPr>
          <w:p>
            <w:r/>
            <w:r>
              <w:rPr>
                <w:sz w:val="19"/>
              </w:rPr>
              <w:t>Active</w:t>
            </w:r>
          </w:p>
        </w:tc>
      </w:tr>
      <w:tr>
        <w:tc>
          <w:tcPr>
            <w:tcW w:type="dxa" w:w="2880"/>
          </w:tcPr>
          <w:p>
            <w:r/>
            <w:r>
              <w:rPr>
                <w:sz w:val="19"/>
              </w:rPr>
              <w:t>CHAP accreditation</w:t>
            </w:r>
          </w:p>
        </w:tc>
        <w:tc>
          <w:tcPr>
            <w:tcW w:type="dxa" w:w="6192"/>
          </w:tcPr>
          <w:p>
            <w:r/>
            <w:r>
              <w:rPr>
                <w:sz w:val="19"/>
              </w:rPr>
              <w:t>Effective 1/8/2024 - expires 1/8/2027</w:t>
            </w:r>
          </w:p>
        </w:tc>
      </w:tr>
      <w:tr>
        <w:tc>
          <w:tcPr>
            <w:tcW w:type="dxa" w:w="2880"/>
          </w:tcPr>
          <w:p>
            <w:r/>
            <w:r>
              <w:rPr>
                <w:sz w:val="19"/>
              </w:rPr>
              <w:t>CLIA number</w:t>
            </w:r>
          </w:p>
        </w:tc>
        <w:tc>
          <w:tcPr>
            <w:tcW w:type="dxa" w:w="6192"/>
          </w:tcPr>
          <w:p>
            <w:r/>
            <w:r>
              <w:rPr>
                <w:sz w:val="19"/>
              </w:rPr>
              <w:t>45D2282700, effective 5/23/2025 - expires 5/23/2027</w:t>
            </w:r>
          </w:p>
        </w:tc>
      </w:tr>
      <w:tr>
        <w:tc>
          <w:tcPr>
            <w:tcW w:type="dxa" w:w="2880"/>
          </w:tcPr>
          <w:p>
            <w:r/>
            <w:r>
              <w:rPr>
                <w:sz w:val="19"/>
              </w:rPr>
              <w:t>CMS 36-month rule</w:t>
            </w:r>
          </w:p>
        </w:tc>
        <w:tc>
          <w:tcPr>
            <w:tcW w:type="dxa" w:w="6192"/>
          </w:tcPr>
          <w:p>
            <w:r/>
            <w:r>
              <w:rPr>
                <w:sz w:val="19"/>
              </w:rPr>
              <w:t>Currently within the 36-month window from the 1/8/2024 certification date; window expires 1/8/2027</w:t>
            </w:r>
          </w:p>
        </w:tc>
      </w:tr>
      <w:tr>
        <w:tc>
          <w:tcPr>
            <w:tcW w:type="dxa" w:w="2880"/>
          </w:tcPr>
          <w:p>
            <w:r/>
            <w:r>
              <w:rPr>
                <w:sz w:val="19"/>
              </w:rPr>
              <w:t>Medicaid (HHSC) contract</w:t>
            </w:r>
          </w:p>
        </w:tc>
        <w:tc>
          <w:tcPr>
            <w:tcW w:type="dxa" w:w="6192"/>
          </w:tcPr>
          <w:p>
            <w:r/>
            <w:r>
              <w:rPr>
                <w:sz w:val="19"/>
              </w:rPr>
              <w:t>Contract No. HHS000004700408; Provider No. 001035622; Cross Ref. No. 3342; Service Area Region 8; Service Codes 1, 1A, 4, 24, 30, 31, 32, 33; Effective 6/26/2026, expires 12/23/2028</w:t>
            </w:r>
          </w:p>
        </w:tc>
      </w:tr>
    </w:tbl>
    <w:p>
      <w:pPr>
        <w:pStyle w:val="Heading1"/>
        <w:keepNext/>
      </w:pPr>
      <w:r>
        <w:rPr>
          <w:color w:val="1F3864"/>
        </w:rPr>
        <w:t>3. Flag - PTAN deactivation and reactivation</w:t>
      </w:r>
    </w:p>
    <w:p>
      <w:r>
        <w:rPr>
          <w:b/>
          <w:i w:val="0"/>
          <w:sz w:val="21"/>
        </w:rPr>
        <w:t>On 7/3/2026 the sellers provided a CMS reactivation approval letter and confirmation email, both dated 3/20/2026, described as "official confirmation from CMS ... for the reactivation of our PTAN and billing privileges." This indicates the PTAN was not continuously active for Medicare billing between the 1/8/2024 certification date and the March 2026 reactivation - it was reactivated only a few months before this sale process began. The reason for the deactivation is not stated in the correspondence on file and should be confirmed directly with the sellers (common causes include a lapsed revalidation cycle or a period of non-billing; either should be verifiable from the CMS letter itself). This is relevant to valuation because it bears on how long the license has actually been billing-capable versus simply certified.</w:t>
      </w:r>
    </w:p>
    <w:p>
      <w:pPr>
        <w:pStyle w:val="Heading1"/>
        <w:keepNext/>
      </w:pPr>
      <w:r>
        <w:rPr>
          <w:color w:val="1F3864"/>
        </w:rPr>
        <w:t>4. Flag - current operations and financial history</w:t>
      </w:r>
    </w:p>
    <w:p>
      <w:r>
        <w:rPr>
          <w:b/>
          <w:i w:val="0"/>
          <w:sz w:val="21"/>
        </w:rPr>
        <w:t>The sellers described the agency directly, in their initial outreach (7/2/2026): "the agency is clean, zero pts no staff and it is ready to take pts and start billing as early as today." No patients, no staff, and no material billing activity are represented as of the outreach date. Three years of entity tax returns and financial statements are expected to exist given the 1/8/2024 certification date, but based on the sellers' own description they will show minimal to no revenue. As of this package, the sellers have not yet provided financial statements or tax returns through email; those have been requested separately and will be forwarded when received. The valuation should be understood as primarily a license/certification valuation rather than a going-concern business valuation - there is no material operating history or patient census being acquired.</w:t>
      </w:r>
    </w:p>
    <w:p>
      <w:pPr>
        <w:pStyle w:val="Heading1"/>
        <w:keepNext/>
      </w:pPr>
      <w:r>
        <w:rPr>
          <w:color w:val="1F3864"/>
        </w:rPr>
        <w:t>5. Negotiated purchase terms</w:t>
      </w:r>
    </w:p>
    <w:p>
      <w:r>
        <w:rPr>
          <w:b w:val="0"/>
          <w:i w:val="0"/>
          <w:sz w:val="21"/>
        </w:rPr>
        <w:t>The purchase price of $500,000 was agreed without negotiation. The payment structure was negotiated over several exchanges (7/3-7/6/2026) and is reflected in the Membership Interest Purchase Agreement now in redline:</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2448"/>
          </w:tcPr>
          <w:p>
            <w:r/>
            <w:r>
              <w:rPr>
                <w:b/>
                <w:sz w:val="19"/>
              </w:rPr>
              <w:t>Term</w:t>
            </w:r>
          </w:p>
        </w:tc>
        <w:tc>
          <w:tcPr>
            <w:tcW w:type="dxa" w:w="6624"/>
          </w:tcPr>
          <w:p>
            <w:r/>
            <w:r>
              <w:rPr>
                <w:b/>
                <w:sz w:val="19"/>
              </w:rPr>
              <w:t>Detail</w:t>
            </w:r>
          </w:p>
        </w:tc>
      </w:tr>
      <w:tr>
        <w:tc>
          <w:tcPr>
            <w:tcW w:type="dxa" w:w="2448"/>
          </w:tcPr>
          <w:p>
            <w:r/>
            <w:r>
              <w:rPr>
                <w:sz w:val="19"/>
              </w:rPr>
              <w:t>Purchase price</w:t>
            </w:r>
          </w:p>
        </w:tc>
        <w:tc>
          <w:tcPr>
            <w:tcW w:type="dxa" w:w="6624"/>
          </w:tcPr>
          <w:p>
            <w:r/>
            <w:r>
              <w:rPr>
                <w:sz w:val="19"/>
              </w:rPr>
              <w:t>$500,000 for 100% of the membership interests</w:t>
            </w:r>
          </w:p>
        </w:tc>
      </w:tr>
      <w:tr>
        <w:tc>
          <w:tcPr>
            <w:tcW w:type="dxa" w:w="2448"/>
          </w:tcPr>
          <w:p>
            <w:r/>
            <w:r>
              <w:rPr>
                <w:sz w:val="19"/>
              </w:rPr>
              <w:t>Down payment</w:t>
            </w:r>
          </w:p>
        </w:tc>
        <w:tc>
          <w:tcPr>
            <w:tcW w:type="dxa" w:w="6624"/>
          </w:tcPr>
          <w:p>
            <w:r/>
            <w:r>
              <w:rPr>
                <w:sz w:val="19"/>
              </w:rPr>
              <w:t>$125,000 at closing (~8/1/2026), concurrent with the 49% transfer</w:t>
            </w:r>
          </w:p>
        </w:tc>
      </w:tr>
      <w:tr>
        <w:tc>
          <w:tcPr>
            <w:tcW w:type="dxa" w:w="2448"/>
          </w:tcPr>
          <w:p>
            <w:r/>
            <w:r>
              <w:rPr>
                <w:sz w:val="19"/>
              </w:rPr>
              <w:t>Installments</w:t>
            </w:r>
          </w:p>
        </w:tc>
        <w:tc>
          <w:tcPr>
            <w:tcW w:type="dxa" w:w="6624"/>
          </w:tcPr>
          <w:p>
            <w:r/>
            <w:r>
              <w:rPr>
                <w:sz w:val="19"/>
              </w:rPr>
              <w:t>$31,250/month, September 2026 through December 2026</w:t>
            </w:r>
          </w:p>
        </w:tc>
      </w:tr>
      <w:tr>
        <w:tc>
          <w:tcPr>
            <w:tcW w:type="dxa" w:w="2448"/>
          </w:tcPr>
          <w:p>
            <w:r/>
            <w:r>
              <w:rPr>
                <w:sz w:val="19"/>
              </w:rPr>
              <w:t>Interest rate</w:t>
            </w:r>
          </w:p>
        </w:tc>
        <w:tc>
          <w:tcPr>
            <w:tcW w:type="dxa" w:w="6624"/>
          </w:tcPr>
          <w:p>
            <w:r/>
            <w:r>
              <w:rPr>
                <w:sz w:val="19"/>
              </w:rPr>
              <w:t>6% per annum on the unpaid balance from day one</w:t>
            </w:r>
          </w:p>
        </w:tc>
      </w:tr>
      <w:tr>
        <w:tc>
          <w:tcPr>
            <w:tcW w:type="dxa" w:w="2448"/>
          </w:tcPr>
          <w:p>
            <w:r/>
            <w:r>
              <w:rPr>
                <w:sz w:val="19"/>
              </w:rPr>
              <w:t>Final payment</w:t>
            </w:r>
          </w:p>
        </w:tc>
        <w:tc>
          <w:tcPr>
            <w:tcW w:type="dxa" w:w="6624"/>
          </w:tcPr>
          <w:p>
            <w:r/>
            <w:r>
              <w:rPr>
                <w:sz w:val="19"/>
              </w:rPr>
              <w:t>Approximately $258,489.46 due 1/15/2027, the first date past the 36-month rule, concurrent with the remaining 51% transfer</w:t>
            </w:r>
          </w:p>
        </w:tc>
      </w:tr>
      <w:tr>
        <w:tc>
          <w:tcPr>
            <w:tcW w:type="dxa" w:w="2448"/>
          </w:tcPr>
          <w:p>
            <w:r/>
            <w:r>
              <w:rPr>
                <w:sz w:val="19"/>
              </w:rPr>
              <w:t>Security</w:t>
            </w:r>
          </w:p>
        </w:tc>
        <w:tc>
          <w:tcPr>
            <w:tcW w:type="dxa" w:w="6624"/>
          </w:tcPr>
          <w:p>
            <w:r/>
            <w:r>
              <w:rPr>
                <w:sz w:val="19"/>
              </w:rPr>
              <w:t>Sellers hold a security interest in the company and a personal guaranty from the buyer until paid in full; prepayable at any time without penalty</w:t>
            </w:r>
          </w:p>
        </w:tc>
      </w:tr>
    </w:tbl>
    <w:p>
      <w:r>
        <w:rPr>
          <w:b w:val="0"/>
          <w:i w:val="0"/>
          <w:sz w:val="21"/>
        </w:rPr>
        <w:t>Deal documents currently in redline (as of 7/16/2026): Membership Interest Sale and Purchase Agreement, Promissory Note, Guaranty, and Security Agreements (LLC membership interest as collateral) for each seller. These are available on request.</w:t>
      </w:r>
    </w:p>
    <w:p>
      <w:pPr>
        <w:pStyle w:val="Heading1"/>
        <w:keepNext/>
      </w:pPr>
      <w:r>
        <w:rPr>
          <w:color w:val="1F3864"/>
        </w:rPr>
        <w:t>6. Market context</w:t>
      </w:r>
    </w:p>
    <w:p>
      <w:r>
        <w:rPr>
          <w:b w:val="0"/>
          <w:i w:val="0"/>
          <w:sz w:val="21"/>
        </w:rPr>
        <w:t>Comparable Texas hospice license transactions reviewed during this process: Medicare-only license shells have traded at approximately $225,000-$350,000; Medicare and Medicaid dual-certified licenses (Refuge's category) at approximately $400,000-$500,000+; and licenses with material existing operations at $1,200,000-$1,700,000. Texas has an effective freeze on new Medicaid hospice enrollment, and CMS has a nationwide hospice enrollment moratorium in effect naming Texas, both of which constrain new supply and support values for existing certified licenses. A separate comparison memo with sourcing is available on request.</w:t>
      </w:r>
    </w:p>
    <w:p>
      <w:pPr>
        <w:pStyle w:val="Heading1"/>
        <w:keepNext/>
      </w:pPr>
      <w:r>
        <w:rPr>
          <w:color w:val="1F3864"/>
        </w:rPr>
        <w:t>7. What we can provide on request</w:t>
      </w:r>
    </w:p>
    <w:p>
      <w:pPr>
        <w:pStyle w:val="ListBullet"/>
      </w:pPr>
      <w:r>
        <w:rPr>
          <w:sz w:val="21"/>
        </w:rPr>
        <w:t>The Membership Interest Purchase Agreement (current redline) and related transaction documents</w:t>
      </w:r>
    </w:p>
    <w:p>
      <w:pPr>
        <w:pStyle w:val="ListBullet"/>
      </w:pPr>
      <w:r>
        <w:rPr>
          <w:sz w:val="21"/>
        </w:rPr>
        <w:t>The sellers' CCN/PTAN reactivation letter and CMS confirmation email (3/20/2026)</w:t>
      </w:r>
    </w:p>
    <w:p>
      <w:pPr>
        <w:pStyle w:val="ListBullet"/>
      </w:pPr>
      <w:r>
        <w:rPr>
          <w:sz w:val="21"/>
        </w:rPr>
        <w:t>The CHAP accreditation certificate</w:t>
      </w:r>
    </w:p>
    <w:p>
      <w:pPr>
        <w:pStyle w:val="ListBullet"/>
      </w:pPr>
      <w:r>
        <w:rPr>
          <w:sz w:val="21"/>
        </w:rPr>
        <w:t>The Medicaid HHSC contract documentation</w:t>
      </w:r>
    </w:p>
    <w:p>
      <w:pPr>
        <w:pStyle w:val="ListBullet"/>
      </w:pPr>
      <w:r>
        <w:rPr>
          <w:sz w:val="21"/>
        </w:rPr>
        <w:t>Sellers' financial statements and tax returns, once received</w:t>
      </w:r>
    </w:p>
    <w:p>
      <w:pPr>
        <w:pStyle w:val="ListBullet"/>
      </w:pPr>
      <w:r>
        <w:rPr>
          <w:sz w:val="21"/>
        </w:rPr>
        <w:t>The buyer entity's formation documents and the operating team's background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Refuge Hospice - Preliminary Info for FMV Evaluation | Confidential | </w:t>
    </w: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