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Four-Track Cash Flow Comparison - Decision Memo</w:t>
      </w:r>
    </w:p>
    <w:p>
      <w:r>
        <w:rPr>
          <w:b/>
          <w:i w:val="0"/>
          <w:sz w:val="21"/>
        </w:rPr>
        <w:t>Prepared 7/28/2026 | Basis: Azalea_Track_Comparison_Rev1.00.xlsx (QA 13/13) | Confidential</w:t>
      </w:r>
    </w:p>
    <w:p>
      <w:pPr>
        <w:pStyle w:val="Heading1"/>
        <w:keepNext/>
      </w:pPr>
      <w:r>
        <w:rPr>
          <w:color w:val="1F3864"/>
        </w:rPr>
        <w:t>1. What this compares</w:t>
      </w:r>
    </w:p>
    <w:p>
      <w:r>
        <w:rPr>
          <w:b w:val="0"/>
          <w:i w:val="0"/>
          <w:sz w:val="21"/>
        </w:rPr>
        <w:t>One operating chassis - the same census ramp, net rate ($172/patient-day), variable cost ($79/patient-day), and fixed overhead ($62K/month) proven out in the Rev 4.10 proforma - run through four different license and billing structures over 24 months (August 2026 start). Tracks are modeled with NO equity inflows, so the headline number is the peak cumulative funding need, compared against the roughly $215,000 actually available (the remainder of Jim's $250,000 commitment). No revolver or assumed facility anywhere.</w:t>
      </w:r>
    </w:p>
    <w:p>
      <w:pPr>
        <w:pStyle w:val="Heading1"/>
        <w:keepNext/>
      </w:pPr>
      <w:r>
        <w:rPr>
          <w:color w:val="1F3864"/>
        </w:rPr>
        <w:t>2. Results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3312"/>
          </w:tcPr>
          <w:p>
            <w:r/>
            <w:r>
              <w:rPr>
                <w:b/>
                <w:sz w:val="19"/>
              </w:rPr>
              <w:t>Track</w:t>
            </w:r>
          </w:p>
        </w:tc>
        <w:tc>
          <w:tcPr>
            <w:tcW w:type="dxa" w:w="1872"/>
          </w:tcPr>
          <w:p>
            <w:r/>
            <w:r>
              <w:rPr>
                <w:b/>
                <w:sz w:val="19"/>
              </w:rPr>
              <w:t>Peak funding need</w:t>
            </w:r>
          </w:p>
        </w:tc>
        <w:tc>
          <w:tcPr>
            <w:tcW w:type="dxa" w:w="2016"/>
          </w:tcPr>
          <w:p>
            <w:r/>
            <w:r>
              <w:rPr>
                <w:b/>
                <w:sz w:val="19"/>
              </w:rPr>
              <w:t>Gap vs $215K available</w:t>
            </w:r>
          </w:p>
        </w:tc>
        <w:tc>
          <w:tcPr>
            <w:tcW w:type="dxa" w:w="1872"/>
          </w:tcPr>
          <w:p>
            <w:r/>
            <w:r>
              <w:rPr>
                <w:b/>
                <w:sz w:val="19"/>
              </w:rPr>
              <w:t>Month-12 cumulative</w:t>
            </w:r>
          </w:p>
        </w:tc>
        <w:tc>
          <w:tcPr>
            <w:tcW w:type="dxa" w:w="1872"/>
          </w:tcPr>
          <w:p>
            <w:r/>
            <w:r>
              <w:rPr>
                <w:b/>
                <w:sz w:val="19"/>
              </w:rPr>
              <w:t>Month-24 cumulative</w:t>
            </w:r>
          </w:p>
        </w:tc>
      </w:tr>
      <w:tr>
        <w:tc>
          <w:tcPr>
            <w:tcW w:type="dxa" w:w="3312"/>
          </w:tcPr>
          <w:p>
            <w:r/>
            <w:r>
              <w:rPr>
                <w:sz w:val="19"/>
              </w:rPr>
              <w:t>Track 1 - Jason alternate delivery site only</w:t>
            </w:r>
          </w:p>
        </w:tc>
        <w:tc>
          <w:tcPr>
            <w:tcW w:type="dxa" w:w="1872"/>
          </w:tcPr>
          <w:p>
            <w:r/>
            <w:r>
              <w:rPr>
                <w:sz w:val="19"/>
              </w:rPr>
              <w:t>$230,872</w:t>
            </w:r>
          </w:p>
        </w:tc>
        <w:tc>
          <w:tcPr>
            <w:tcW w:type="dxa" w:w="2016"/>
          </w:tcPr>
          <w:p>
            <w:r/>
            <w:r>
              <w:rPr>
                <w:sz w:val="19"/>
              </w:rPr>
              <w:t>+$15,872</w:t>
            </w:r>
          </w:p>
        </w:tc>
        <w:tc>
          <w:tcPr>
            <w:tcW w:type="dxa" w:w="1872"/>
          </w:tcPr>
          <w:p>
            <w:r/>
            <w:r>
              <w:rPr>
                <w:sz w:val="19"/>
              </w:rPr>
              <w:t>($102,850)</w:t>
            </w:r>
          </w:p>
        </w:tc>
        <w:tc>
          <w:tcPr>
            <w:tcW w:type="dxa" w:w="1872"/>
          </w:tcPr>
          <w:p>
            <w:r/>
            <w:r>
              <w:rPr>
                <w:sz w:val="19"/>
              </w:rPr>
              <w:t>$460,485</w:t>
            </w:r>
          </w:p>
        </w:tc>
      </w:tr>
      <w:tr>
        <w:tc>
          <w:tcPr>
            <w:tcW w:type="dxa" w:w="3312"/>
          </w:tcPr>
          <w:p>
            <w:r/>
            <w:r>
              <w:rPr>
                <w:sz w:val="19"/>
              </w:rPr>
              <w:t>Track 2 - Refuge acquisition (Rev 4.10 terms)</w:t>
            </w:r>
          </w:p>
        </w:tc>
        <w:tc>
          <w:tcPr>
            <w:tcW w:type="dxa" w:w="1872"/>
          </w:tcPr>
          <w:p>
            <w:r/>
            <w:r>
              <w:rPr>
                <w:sz w:val="19"/>
              </w:rPr>
              <w:t>$472,425</w:t>
            </w:r>
          </w:p>
        </w:tc>
        <w:tc>
          <w:tcPr>
            <w:tcW w:type="dxa" w:w="2016"/>
          </w:tcPr>
          <w:p>
            <w:r/>
            <w:r>
              <w:rPr>
                <w:sz w:val="19"/>
              </w:rPr>
              <w:t>+$257,425</w:t>
            </w:r>
          </w:p>
        </w:tc>
        <w:tc>
          <w:tcPr>
            <w:tcW w:type="dxa" w:w="1872"/>
          </w:tcPr>
          <w:p>
            <w:r/>
            <w:r>
              <w:rPr>
                <w:sz w:val="19"/>
              </w:rPr>
              <w:t>$27,484</w:t>
            </w:r>
          </w:p>
        </w:tc>
        <w:tc>
          <w:tcPr>
            <w:tcW w:type="dxa" w:w="1872"/>
          </w:tcPr>
          <w:p>
            <w:r/>
            <w:r>
              <w:rPr>
                <w:sz w:val="19"/>
              </w:rPr>
              <w:t>$689,855</w:t>
            </w:r>
          </w:p>
        </w:tc>
      </w:tr>
      <w:tr>
        <w:tc>
          <w:tcPr>
            <w:tcW w:type="dxa" w:w="3312"/>
          </w:tcPr>
          <w:p>
            <w:r/>
            <w:r>
              <w:rPr>
                <w:sz w:val="19"/>
              </w:rPr>
              <w:t>Track 3 - Avant acquisition (seller-financed)</w:t>
            </w:r>
          </w:p>
        </w:tc>
        <w:tc>
          <w:tcPr>
            <w:tcW w:type="dxa" w:w="1872"/>
          </w:tcPr>
          <w:p>
            <w:r/>
            <w:r>
              <w:rPr>
                <w:sz w:val="19"/>
              </w:rPr>
              <w:t>$634,176</w:t>
            </w:r>
          </w:p>
        </w:tc>
        <w:tc>
          <w:tcPr>
            <w:tcW w:type="dxa" w:w="2016"/>
          </w:tcPr>
          <w:p>
            <w:r/>
            <w:r>
              <w:rPr>
                <w:sz w:val="19"/>
              </w:rPr>
              <w:t>+$419,176</w:t>
            </w:r>
          </w:p>
        </w:tc>
        <w:tc>
          <w:tcPr>
            <w:tcW w:type="dxa" w:w="1872"/>
          </w:tcPr>
          <w:p>
            <w:r/>
            <w:r>
              <w:rPr>
                <w:sz w:val="19"/>
              </w:rPr>
              <w:t>($78,774)</w:t>
            </w:r>
          </w:p>
        </w:tc>
        <w:tc>
          <w:tcPr>
            <w:tcW w:type="dxa" w:w="1872"/>
          </w:tcPr>
          <w:p>
            <w:r/>
            <w:r>
              <w:rPr>
                <w:sz w:val="19"/>
              </w:rPr>
              <w:t>$492,505</w:t>
            </w:r>
          </w:p>
        </w:tc>
      </w:tr>
      <w:tr>
        <w:tc>
          <w:tcPr>
            <w:tcW w:type="dxa" w:w="3312"/>
          </w:tcPr>
          <w:p>
            <w:r/>
            <w:r>
              <w:rPr>
                <w:sz w:val="19"/>
              </w:rPr>
              <w:t>Track 4a - Refuge seed + Jason census</w:t>
            </w:r>
          </w:p>
        </w:tc>
        <w:tc>
          <w:tcPr>
            <w:tcW w:type="dxa" w:w="1872"/>
          </w:tcPr>
          <w:p>
            <w:r/>
            <w:r>
              <w:rPr>
                <w:sz w:val="19"/>
              </w:rPr>
              <w:t>$386,959</w:t>
            </w:r>
          </w:p>
        </w:tc>
        <w:tc>
          <w:tcPr>
            <w:tcW w:type="dxa" w:w="2016"/>
          </w:tcPr>
          <w:p>
            <w:r/>
            <w:r>
              <w:rPr>
                <w:sz w:val="19"/>
              </w:rPr>
              <w:t>+$171,959</w:t>
            </w:r>
          </w:p>
        </w:tc>
        <w:tc>
          <w:tcPr>
            <w:tcW w:type="dxa" w:w="1872"/>
          </w:tcPr>
          <w:p>
            <w:r/>
            <w:r>
              <w:rPr>
                <w:sz w:val="19"/>
              </w:rPr>
              <w:t>($80,516)</w:t>
            </w:r>
          </w:p>
        </w:tc>
        <w:tc>
          <w:tcPr>
            <w:tcW w:type="dxa" w:w="1872"/>
          </w:tcPr>
          <w:p>
            <w:r/>
            <w:r>
              <w:rPr>
                <w:sz w:val="19"/>
              </w:rPr>
              <w:t>$581,855</w:t>
            </w:r>
          </w:p>
        </w:tc>
      </w:tr>
      <w:tr>
        <w:tc>
          <w:tcPr>
            <w:tcW w:type="dxa" w:w="3312"/>
          </w:tcPr>
          <w:p>
            <w:r/>
            <w:r>
              <w:rPr>
                <w:sz w:val="19"/>
              </w:rPr>
              <w:t>Track 4b - Avant seed + Jason census</w:t>
            </w:r>
          </w:p>
        </w:tc>
        <w:tc>
          <w:tcPr>
            <w:tcW w:type="dxa" w:w="1872"/>
          </w:tcPr>
          <w:p>
            <w:r/>
            <w:r>
              <w:rPr>
                <w:sz w:val="19"/>
              </w:rPr>
              <w:t>$442,435</w:t>
            </w:r>
          </w:p>
        </w:tc>
        <w:tc>
          <w:tcPr>
            <w:tcW w:type="dxa" w:w="2016"/>
          </w:tcPr>
          <w:p>
            <w:r/>
            <w:r>
              <w:rPr>
                <w:sz w:val="19"/>
              </w:rPr>
              <w:t>+$227,435</w:t>
            </w:r>
          </w:p>
        </w:tc>
        <w:tc>
          <w:tcPr>
            <w:tcW w:type="dxa" w:w="1872"/>
          </w:tcPr>
          <w:p>
            <w:r/>
            <w:r>
              <w:rPr>
                <w:sz w:val="19"/>
              </w:rPr>
              <w:t>($174,329)</w:t>
            </w:r>
          </w:p>
        </w:tc>
        <w:tc>
          <w:tcPr>
            <w:tcW w:type="dxa" w:w="1872"/>
          </w:tcPr>
          <w:p>
            <w:r/>
            <w:r>
              <w:rPr>
                <w:sz w:val="19"/>
              </w:rPr>
              <w:t>$429,250</w:t>
            </w:r>
          </w:p>
        </w:tc>
      </w:tr>
    </w:tbl>
    <w:p>
      <w:pPr>
        <w:pStyle w:val="Heading1"/>
        <w:keepNext/>
      </w:pPr>
      <w:r>
        <w:rPr>
          <w:color w:val="1F3864"/>
        </w:rPr>
        <w:t>3. How to read it</w:t>
      </w:r>
    </w:p>
    <w:p>
      <w:pPr>
        <w:pStyle w:val="ListBullet"/>
      </w:pPr>
      <w:r>
        <w:rPr>
          <w:sz w:val="21"/>
        </w:rPr>
        <w:t>Track 1 (Jason only) is the only track within reach of committed capital: peak need $230,872 vs $215K available - a $15,872 gap that fee negotiation or a small bridge closes. The trade: at month 24 you own no license; the ADC-formula purchase option is the path to converting that book into an owned asset.</w:t>
      </w:r>
    </w:p>
    <w:p>
      <w:pPr>
        <w:pStyle w:val="ListBullet"/>
      </w:pPr>
      <w:r>
        <w:rPr>
          <w:sz w:val="21"/>
        </w:rPr>
        <w:t>Track 2 (Refuge) peaks at $472,425 - but note this is the only ownership track carrying institutional financing (the Sept bank note and Jan SBA inflows are IN these numbers). Its peak-vs-available gap of $257,425 is what the PPEO stress test already told us: the committed stack does not absorb prepayment review.</w:t>
      </w:r>
    </w:p>
    <w:p>
      <w:pPr>
        <w:pStyle w:val="ListBullet"/>
      </w:pPr>
      <w:r>
        <w:rPr>
          <w:sz w:val="21"/>
        </w:rPr>
        <w:t>Track 3 (Avant) has the LOWEST license cost ($300K, fully seller-deferred until PPEO clears) but the HIGHEST peak need, $634,176. The seller deferral funds the license - it does nothing for the operating ramp, which burns roughly $580K before first collections with no bank or SBA money attached to this track. Seller flexibility is not a substitute for working capital.</w:t>
      </w:r>
    </w:p>
    <w:p>
      <w:pPr>
        <w:pStyle w:val="ListBullet"/>
      </w:pPr>
      <w:r>
        <w:rPr>
          <w:sz w:val="21"/>
        </w:rPr>
        <w:t>The combos do exactly what they were designed to do: running growth census through Jason's established number while the owned license seeds through PPEO cuts the Refuge path's peak by $85,466 (to $386,959) and the Avant path's peak by $191,741 (to $442,435).</w:t>
      </w:r>
    </w:p>
    <w:p>
      <w:pPr>
        <w:pStyle w:val="ListBullet"/>
      </w:pPr>
      <w:r>
        <w:rPr>
          <w:sz w:val="21"/>
        </w:rPr>
        <w:t>Counterintuitive but real: Refuge beats Avant on CASH in both standalone and combo form, despite the harder seller terms - because Refuge comes with a financing stack and Avant does not. If Avant could attach even the bank note, its numbers would flip. That is a financing question, not a deal-terms question.</w:t>
      </w:r>
    </w:p>
    <w:p>
      <w:pPr>
        <w:pStyle w:val="Heading1"/>
        <w:keepNext/>
      </w:pPr>
      <w:r>
        <w:rPr>
          <w:color w:val="1F3864"/>
        </w:rPr>
        <w:t>4. Regulatory gates (cash is not the only axis)</w:t>
      </w:r>
    </w:p>
    <w:p>
      <w:pPr>
        <w:pStyle w:val="ListBullet"/>
      </w:pPr>
      <w:r>
        <w:rPr>
          <w:sz w:val="21"/>
        </w:rPr>
        <w:t>Jason ADS: terms unagreed (the $15K/month fee is a placeholder input); AKS-compliant structure, Smith County TULIP add, and 855A location filing required before first admission.</w:t>
      </w:r>
    </w:p>
    <w:p>
      <w:pPr>
        <w:pStyle w:val="ListBullet"/>
      </w:pPr>
      <w:r>
        <w:rPr>
          <w:sz w:val="21"/>
        </w:rPr>
        <w:t>Refuge: 36-month window closes 1/8/2027; the reactivated billing number lapses around September absent claims; PPEO is certain per the reactivation letter; both the bank note and SBA must fund.</w:t>
      </w:r>
    </w:p>
    <w:p>
      <w:pPr>
        <w:pStyle w:val="ListBullet"/>
      </w:pPr>
      <w:r>
        <w:rPr>
          <w:sz w:val="21"/>
        </w:rPr>
        <w:t>Avant: the Palmetto tie-in/CHOW has been unresolved for years (escalated through two legislators and HHSC as of June-July 2026) - the clearance-month input is the single most uncertain number in this workbook. Medicare-only. Its own 36-month/moratorium position is unverified (the favorable read on the moratorium is the sellers', not counsel's). License expires 7/8/2027.</w:t>
      </w:r>
    </w:p>
    <w:p>
      <w:pPr>
        <w:pStyle w:val="ListBullet"/>
      </w:pPr>
      <w:r>
        <w:rPr>
          <w:sz w:val="21"/>
        </w:rPr>
        <w:t>Combos inherit both gate sets and run two arrangements simultaneously - more moving parts, lower peak cash.</w:t>
      </w:r>
    </w:p>
    <w:p>
      <w:pPr>
        <w:pStyle w:val="Heading1"/>
        <w:keepNext/>
      </w:pPr>
      <w:r>
        <w:rPr>
          <w:color w:val="1F3864"/>
        </w:rPr>
        <w:t>5. Levers to test next (all are Assumptions-tab inputs)</w:t>
      </w:r>
    </w:p>
    <w:p>
      <w:pPr>
        <w:pStyle w:val="ListBullet"/>
      </w:pPr>
      <w:r>
        <w:rPr>
          <w:sz w:val="21"/>
        </w:rPr>
        <w:t>Jason fee: every $5K/month off the placeholder saves ~$60K over a PPEO year across T1/T4.</w:t>
      </w:r>
    </w:p>
    <w:p>
      <w:pPr>
        <w:pStyle w:val="ListBullet"/>
      </w:pPr>
      <w:r>
        <w:rPr>
          <w:sz w:val="21"/>
        </w:rPr>
        <w:t>Avant clearance month (default M2; try M4/M6) - each month of delay adds roughly a month of burn to T3/T4b peaks.</w:t>
      </w:r>
    </w:p>
    <w:p>
      <w:pPr>
        <w:pStyle w:val="ListBullet"/>
      </w:pPr>
      <w:r>
        <w:rPr>
          <w:sz w:val="21"/>
        </w:rPr>
        <w:t>PPEO hold (defaults: Refuge 3, Avant 4; try 6) - the downside case that sizes any bridge ask.</w:t>
      </w:r>
    </w:p>
    <w:p>
      <w:pPr>
        <w:pStyle w:val="ListBullet"/>
      </w:pPr>
      <w:r>
        <w:rPr>
          <w:sz w:val="21"/>
        </w:rPr>
        <w:t>A Jim bridge or bank line applied to any track directly reduces its gap dollar-for-dollar; T4a needs ~$172K of coverage, T1 needs ~$16K.</w:t>
      </w:r>
    </w:p>
    <w:p>
      <w:r>
        <w:rPr>
          <w:b w:val="0"/>
          <w:i/>
          <w:sz w:val="21"/>
        </w:rPr>
        <w:t>Method note: simplified chassis (no owner-salary deferral, Medicaid room-and-board treated as cash-neutral); Refuge track carries the full Rev 4.10 financing sequence; Avant schedule per the May 5 payment confirmation, time-shifted to the PPEO-clear month per the sellers' current willingness. Figures regenerate from the workbook - edit Assumptions and rerun the QA before quoting new numbers.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Azalea - Four-Track Cash Flow Comparison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