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Geoff Schackmann (sole 20%+ owner - direct individual 39.9% interest)</w:t>
      </w:r>
    </w:p>
    <w:p>
      <w:r>
        <w:rPr>
          <w:b w:val="0"/>
          <w:i/>
          <w:sz w:val="18"/>
        </w:rPr>
        <w:t>Note: Geoff owns the 39.9% interest directly as an individual and is the Manager and the sole 20%+ owner for SBA guaranty purposes. James Bullard (19.5% direct) and Mary Elizabeth Burcham (~19.95% Arizona community-property interest as Geoff's spouse) are each under 20% with no management role, so neither needs PFS, Form 912, or tax returns. Bullard's source of funds is verified separately (Section B2); Mary Elizabeth signs a spousal / community-property consent at close (Section B3).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PFS asset support: the executed VistaRiver MIPA + Promissory Note (already in folder 10) and</w:t>
      </w:r>
    </w:p>
    <w:p>
      <w:r>
        <w:rPr>
          <w:b w:val="0"/>
          <w:i w:val="0"/>
          <w:sz w:val="21"/>
        </w:rPr>
        <w:t xml:space="preserve">  -   a current VistaRiver payment ledger or recent statements confirming the note is current</w:t>
      </w:r>
    </w:p>
    <w:p>
      <w:r>
        <w:rPr>
          <w:b w:val="0"/>
          <w:i w:val="0"/>
          <w:sz w:val="21"/>
        </w:rPr>
        <w:t xml:space="preserve">  - Any other PFS assets to disclose (real estate, retirement accounts, vehicles, other investments)</w:t>
      </w:r>
    </w:p>
    <w:p>
      <w:r>
        <w:rPr>
          <w:b/>
          <w:color w:val="1F3864"/>
          <w:sz w:val="23"/>
        </w:rPr>
        <w:t>B2. Equity injection verification (James Bullard, contributor)</w:t>
      </w:r>
    </w:p>
    <w:p>
      <w:r>
        <w:rPr>
          <w:b w:val="0"/>
          <w:i/>
          <w:sz w:val="18"/>
        </w:rPr>
        <w:t>Tranche 1 of $100,000 is confirmed received - Mercury (Column N.A.) acct ****1275, May 7, 2026 wire from JIM BULLARD; balance still held as of June 3, 2026. Tranche 2 ($95,000, by July 31, 2026) is committed and outstanding. The following remain needed; SOP 50 10 8 source-of-funds verification is required for each tranche even though Mr. Bullard is under 20% (no PFS, Form 912, tax returns, or guaranty required of him).</w:t>
      </w:r>
    </w:p>
    <w:p>
      <w:r>
        <w:rPr>
          <w:b w:val="0"/>
          <w:i w:val="0"/>
          <w:sz w:val="21"/>
        </w:rPr>
        <w:t xml:space="preserve">  - Mr. Bullard's bank or brokerage statements - in his own name - covering 30+ days BEFORE each wire, showing the funds available</w:t>
      </w:r>
    </w:p>
    <w:p>
      <w:r>
        <w:rPr>
          <w:b w:val="0"/>
          <w:i w:val="0"/>
          <w:sz w:val="21"/>
        </w:rPr>
        <w:t xml:space="preserve">  - Wire/transfer confirmation for the remaining $95,000 tranche as it lands</w:t>
      </w:r>
    </w:p>
    <w:p>
      <w:r>
        <w:rPr>
          <w:b w:val="0"/>
          <w:i w:val="0"/>
          <w:sz w:val="21"/>
        </w:rPr>
        <w:t xml:space="preserve">  - Final Mercury statement (or trailing-day balance) showing the full $195,000 has been received once Tranche 2 lands</w:t>
      </w:r>
    </w:p>
    <w:p>
      <w:r>
        <w:rPr>
          <w:b w:val="0"/>
          <w:i w:val="0"/>
          <w:sz w:val="21"/>
        </w:rPr>
        <w:t xml:space="preserve">  - Save the screenshot/PDF of Mercury acct ****1275 showing the May 7 wire under 10_supporting_documents/equity_injection_evidence/</w:t>
      </w:r>
    </w:p>
    <w:p>
      <w:r>
        <w:rPr>
          <w:b w:val="0"/>
          <w:i/>
          <w:sz w:val="18"/>
        </w:rPr>
        <w:t>Timing: SBA closing/disbursement will occur AFTER the July 2026 tranche so the full $195,000 is on deposit at disbursement (per SOP 50 10 8). No holdback or acceleration needed.</w:t>
      </w:r>
    </w:p>
    <w:p>
      <w:r>
        <w:rPr>
          <w:b/>
          <w:color w:val="1F3864"/>
          <w:sz w:val="23"/>
        </w:rPr>
        <w:t>B3. Spousal / community-property consent (Mary Elizabeth Burcham)</w:t>
      </w:r>
    </w:p>
    <w:p>
      <w:r>
        <w:rPr>
          <w:b w:val="0"/>
          <w:i/>
          <w:sz w:val="18"/>
        </w:rPr>
        <w:t>Mary Elizabeth Burcham is Geoff's spouse. Geoff's 39.9% interest is community property under Arizona law, giving her a community-property interest of approximately 19.95% in Tyler Hospice Hold, LLC - under 20%, passive, no management role. As the owner's spouse she signs a spousal / community-property consent on the Operating Agreement and on Geoff's personal guaranty, not a co-guaranty.</w:t>
      </w:r>
    </w:p>
    <w:p>
      <w:r>
        <w:rPr>
          <w:b w:val="0"/>
          <w:i w:val="0"/>
          <w:sz w:val="21"/>
        </w:rPr>
        <w:t xml:space="preserve">  - Mary Elizabeth Burcham's full legal name (with middle name/initial), date of birth, address</w:t>
      </w:r>
    </w:p>
    <w:p>
      <w:r>
        <w:rPr>
          <w:b w:val="0"/>
          <w:i w:val="0"/>
          <w:sz w:val="21"/>
        </w:rPr>
        <w:t xml:space="preserve">  - Her signature on the spousal / community-property consent (lender provides form at close)</w:t>
      </w:r>
    </w:p>
    <w:p>
      <w:r>
        <w:rPr>
          <w:b w:val="0"/>
          <w:i w:val="0"/>
          <w:sz w:val="21"/>
        </w:rPr>
        <w:t xml:space="preserve">  - If the lender requires it (varies by lender, not by SBA): a brief PFS for the marital household. Confirm with John Hart whether his bank requires this for the spouse of the sole guarantor.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(Membership Interest Purchase Agreement)</w:t>
      </w:r>
    </w:p>
    <w:p>
      <w:r>
        <w:rPr>
          <w:b w:val="0"/>
          <w:i w:val="0"/>
          <w:sz w:val="21"/>
        </w:rPr>
        <w:t xml:space="preserve">  - MIPA amendment: the Hickory MIPA (Rev. 2.00) names the Buyer as a Texas LLC; it must be amended so the Buyer is 'Tyler Hospice Hold, LLC, a Wyoming limited liability company.'</w:t>
      </w:r>
    </w:p>
    <w:p>
      <w:r>
        <w:rPr>
          <w:b w:val="0"/>
          <w:i w:val="0"/>
          <w:sz w:val="21"/>
        </w:rPr>
        <w:t xml:space="preserve">  - Bank acquisition term-loan documents: commitment / term sheet, note, security agreement, and the intercreditor / subordination agreement subordinating the bank loan to the SBA 7(a) loan (SBA-lender approval of the piggyback financing)</w:t>
      </w:r>
    </w:p>
    <w:p>
      <w:r>
        <w:rPr>
          <w:b w:val="0"/>
          <w:i w:val="0"/>
          <w:sz w:val="21"/>
        </w:rPr>
        <w:t xml:space="preserve">  - James Bullard's personal guaranty of the bank acquisition loan</w:t>
      </w:r>
    </w:p>
    <w:p>
      <w:r>
        <w:rPr>
          <w:b w:val="0"/>
          <w:i w:val="0"/>
          <w:sz w:val="21"/>
        </w:rPr>
        <w:t xml:space="preserve">  - Wire confirmation for the $300,000 Hickory acquisition (funded by the bank acquisition term loan)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