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Plan Addendum - Target Change to Refuge Hospice, LLC</w:t>
      </w:r>
    </w:p>
    <w:p>
      <w:r>
        <w:rPr>
          <w:b/>
          <w:sz w:val="20"/>
        </w:rPr>
        <w:t>Tyler Hospice Hold, LLC | 7/16/2026 | Supplements Business Plan Rev 5.00 pending full revision</w:t>
      </w:r>
    </w:p>
    <w:p>
      <w:pPr>
        <w:pStyle w:val="Heading1"/>
      </w:pPr>
      <w:r>
        <w:rPr>
          <w:color w:val="1F3B2D"/>
        </w:rPr>
        <w:t>What changed</w:t>
      </w:r>
    </w:p>
    <w:p>
      <w:r>
        <w:rPr>
          <w:b w:val="0"/>
          <w:sz w:val="20"/>
        </w:rPr>
        <w:t>The previously contracted target (Hickory Hospice, LLC, $300,000, Medicare-only) failed its state site survey and the transaction was terminated. The Company is now acquiring Refuge Hospice, LLC, a Texas LLC (CMS CCN effective 1/8/2024), for $500,000 under a MIPA dated 7/14/2026 (in final negotiation).</w:t>
      </w:r>
    </w:p>
    <w:p>
      <w:pPr>
        <w:pStyle w:val="Heading1"/>
      </w:pPr>
      <w:r>
        <w:rPr>
          <w:color w:val="1F3B2D"/>
        </w:rPr>
        <w:t>Why Refuge is a stronger asset</w:t>
      </w:r>
    </w:p>
    <w:p>
      <w:r>
        <w:rPr>
          <w:b w:val="0"/>
          <w:sz w:val="20"/>
        </w:rPr>
        <w:t>Refuge is certified for BOTH Medicare and Medicaid and is ready to bill immediately. Texas has an effective freeze on new Medicaid hospice enrollment and CMS imposed a nationwide hospice enrollment moratorium (eff. 5/13/2026) naming Texas - dual-certified licenses are scarce and trade at $400-500K+. Medicaid certification adds nursing-facility room &amp; board billing capability, widening the referral base to nursing homes.</w:t>
      </w:r>
    </w:p>
    <w:p>
      <w:pPr>
        <w:pStyle w:val="Heading1"/>
      </w:pPr>
      <w:r>
        <w:rPr>
          <w:color w:val="1F3B2D"/>
        </w:rPr>
        <w:t>Transaction structure (42 CFR 424.550(b))</w:t>
      </w:r>
    </w:p>
    <w:p>
      <w:r>
        <w:rPr>
          <w:b w:val="0"/>
          <w:sz w:val="20"/>
        </w:rPr>
        <w:t>Because Medicare bars a change of majority ownership within 36 months of initial certification, the purchase transfers 49% at closing (~8/1/2026, $125,000 down) and the remaining 51% on 1/15/2027 - the first date past the 36-month mark. The $375,000 balance carries 6% interest, $31,250/month from 9/1/2026, final payment ~$258,489.46 on 1/15/2027, prepayable without penalty. The requested SBA loan retires this seller note in September 2026.</w:t>
      </w:r>
    </w:p>
    <w:p>
      <w:pPr>
        <w:pStyle w:val="Heading1"/>
      </w:pPr>
      <w:r>
        <w:rPr>
          <w:color w:val="1F3B2D"/>
        </w:rPr>
        <w:t>Financial projections</w:t>
      </w:r>
    </w:p>
    <w:p>
      <w:r>
        <w:rPr>
          <w:b w:val="0"/>
          <w:sz w:val="20"/>
        </w:rPr>
        <w:t>All projections in this package are from the Rev 3.00 dynamic proforma (36 monthly periods): census reaching 24 patients by month 2, 34 by month 6, and 40 by month 12; EBITDA $263K year 1 (13.6%), $680K year 2 (23.5%), $976K year 3 (28.0%), before debt service; working-capital reserve and revolver keep cash positive in the downside case. Officer salaries are separately stated (Administrator $150K, Director of Nursing $120K, Community Liaison $120K, Office Manager $60K).</w:t>
      </w:r>
    </w:p>
    <w:p>
      <w:pPr>
        <w:pStyle w:val="Heading1"/>
      </w:pPr>
      <w:r>
        <w:rPr>
          <w:color w:val="1F3B2D"/>
        </w:rPr>
        <w:t>What has NOT changed</w:t>
      </w:r>
    </w:p>
    <w:p>
      <w:r>
        <w:rPr>
          <w:b w:val="0"/>
          <w:sz w:val="20"/>
        </w:rPr>
        <w:t>The operating team, the Tyler/Smith County market, the dba (Azalea Hospice &amp; Palliative Care), the entity (Tyler Hospice Hold, LLC, a Wyoming LLC with an S-corp election), the cap table (Schackmann 39.9% / Bullard 19.5% / three operators 13.3% each / 0.7% reserved), and the equity injection ($250,000 cash).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