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Projection Assumptions Narrative</w:t>
      </w:r>
    </w:p>
    <w:p>
      <w:r>
        <w:rPr>
          <w:b/>
          <w:sz w:val="20"/>
        </w:rPr>
        <w:t>Accompanies Azalea_Hospice_Proforma_Rev3.00_DYNAMIC.xlsx (36 monthly periods; every calculation cell is a live formula; all inputs on the Control Tower tab) | 7/16/2026</w:t>
      </w:r>
    </w:p>
    <w:p>
      <w:pPr>
        <w:pStyle w:val="Heading1"/>
      </w:pPr>
      <w:r>
        <w:rPr>
          <w:color w:val="1F3B2D"/>
        </w:rPr>
        <w:t>Census (the revenue driver)</w:t>
      </w:r>
    </w:p>
    <w:p>
      <w:r>
        <w:rPr>
          <w:b w:val="0"/>
          <w:sz w:val="20"/>
        </w:rPr>
        <w:t>End-of-month census of 24 patients by month 2, 34 by month 6, and 40 by month 12, reaching 50 by month 24 and 56 by month 36. Admissions ramp from the team's established East Texas referral relationships; discharges follow an average-length-of-stay-driven waterfall. The team has operated at these census levels before in this market - the ramp is a return to a proven book, not speculation.</w:t>
      </w:r>
    </w:p>
    <w:p>
      <w:pPr>
        <w:pStyle w:val="Heading1"/>
      </w:pPr>
      <w:r>
        <w:rPr>
          <w:color w:val="1F3B2D"/>
        </w:rPr>
        <w:t>Revenue</w:t>
      </w:r>
    </w:p>
    <w:p>
      <w:r>
        <w:rPr>
          <w:b w:val="0"/>
          <w:sz w:val="20"/>
        </w:rPr>
        <w:t>Medicare Routine Home Care per-diem at FY2026 CMS rates for Smith County, split between the first-60-day high rate (~15% of patient days) and the post-60-day low rate, net ~$172 per patient day blended after sequestration and billing fees. Medicaid nursing-facility room &amp; board is passed through at the standard rate. Collections lag billing by ~30-60 days (NOE timing) - the cash-flow tab models the lag explicitly, month by month.</w:t>
      </w:r>
    </w:p>
    <w:p>
      <w:pPr>
        <w:pStyle w:val="Heading1"/>
      </w:pPr>
      <w:r>
        <w:rPr>
          <w:color w:val="1F3B2D"/>
        </w:rPr>
        <w:t>Officer salaries (separately stated)</w:t>
      </w:r>
    </w:p>
    <w:p>
      <w:r>
        <w:rPr>
          <w:b w:val="0"/>
          <w:sz w:val="20"/>
        </w:rPr>
        <w:t>Administrator $150,000; Director of Nursing $120,000; Community Liaison $120,000; Office Manager $60,000. Benefits load 22% plus 3% workers compensation.</w:t>
      </w:r>
    </w:p>
    <w:p>
      <w:pPr>
        <w:pStyle w:val="Heading1"/>
      </w:pPr>
      <w:r>
        <w:rPr>
          <w:color w:val="1F3B2D"/>
        </w:rPr>
        <w:t>Clinical staffing</w:t>
      </w:r>
    </w:p>
    <w:p>
      <w:r>
        <w:rPr>
          <w:b w:val="0"/>
          <w:sz w:val="20"/>
        </w:rPr>
        <w:t>Nursing, aide, chaplain, and social-work FTEs scale with census on standard hospice staffing ratios; per-patient costs (pharmacy, DME, supplies) are per-patient-day rates from the line-item budget.</w:t>
      </w:r>
    </w:p>
    <w:p>
      <w:pPr>
        <w:pStyle w:val="Heading1"/>
      </w:pPr>
      <w:r>
        <w:rPr>
          <w:color w:val="1F3B2D"/>
        </w:rPr>
        <w:t>Contingency</w:t>
      </w:r>
    </w:p>
    <w:p>
      <w:r>
        <w:rPr>
          <w:b w:val="0"/>
          <w:sz w:val="20"/>
        </w:rPr>
        <w:t>5% of net patient revenue is deducted below EBITDA as an explicit contingency in cash flow.</w:t>
      </w:r>
    </w:p>
    <w:p>
      <w:pPr>
        <w:pStyle w:val="Heading1"/>
      </w:pPr>
      <w:r>
        <w:rPr>
          <w:color w:val="1F3B2D"/>
        </w:rPr>
        <w:t>Debt service</w:t>
      </w:r>
    </w:p>
    <w:p>
      <w:r>
        <w:rPr>
          <w:b w:val="0"/>
          <w:sz w:val="20"/>
        </w:rPr>
        <w:t>$500,000 at 6% amortized over 36 months ($15,211/month) beginning October 2026 - deliberately conservative: an actual SBA 7(a) at ~10.5% over 10 years is ~$6,745/month, so real coverage will be materially better than modeled.</w:t>
      </w:r>
    </w:p>
    <w:p>
      <w:pPr>
        <w:pStyle w:val="Heading1"/>
      </w:pPr>
      <w:r>
        <w:rPr>
          <w:color w:val="1F3B2D"/>
        </w:rPr>
        <w:t>Results on these assumptions</w:t>
      </w:r>
    </w:p>
    <w:p>
      <w:r>
        <w:rPr>
          <w:b w:val="0"/>
          <w:sz w:val="20"/>
        </w:rPr>
        <w:t>EBITDA $263K year 1 (13.6% margin), $680K year 2 (23.5%), $976K year 3 (28.0%), before debt service; month-12 EBITDA margin 22.3%. Break-even census ~17-18 patients, crossed in month 2-3. A documented downside case (slower ramp) stays cash-positive using the working-capital reserve and a revolver.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