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reply - SBA Follow up &amp; Questions thread</w:t>
      </w:r>
    </w:p>
    <w:p>
      <w:r>
        <w:rPr>
          <w:b/>
          <w:sz w:val="22"/>
        </w:rPr>
        <w:t>To: John Hart; Mary Brownmiller | From: gs@h-care.us | Re: SBA Follow up &amp; Questions</w:t>
      </w:r>
    </w:p>
    <w:p>
      <w:r>
        <w:rPr>
          <w:b w:val="0"/>
          <w:sz w:val="22"/>
        </w:rPr>
        <w:t>John and Mary,</w:t>
      </w:r>
    </w:p>
    <w:p>
      <w:r>
        <w:rPr>
          <w:b w:val="0"/>
          <w:sz w:val="22"/>
        </w:rPr>
        <w:t>Structure update, and I think you'll both like it. The deal has moved to a stronger asset and a simpler ask.</w:t>
      </w:r>
    </w:p>
    <w:p>
      <w:r>
        <w:rPr>
          <w:b w:val="0"/>
          <w:sz w:val="22"/>
        </w:rPr>
        <w:t>We are acquiring Refuge Hospice, a Texas license certified for both Medicare and Medicaid, ready to bill day one. Purchase agreement is at $500,000. The seller is carrying the balance short term: $125K down at closing for 49%, $31,250 a month from September at 6%, balance in January when the 36 month CMS rule lets the other 51% transfer. The note is prepayable without penalty.</w:t>
      </w:r>
    </w:p>
    <w:p>
      <w:r>
        <w:rPr>
          <w:b w:val="0"/>
          <w:sz w:val="22"/>
        </w:rPr>
        <w:t>The ask: one SBA 7(a) loan of $500,000. It takes out the seller note in September and funds working capital for the ramp. Equity injection is $250,000 cash, a full third of the $750,000 project. Jim Bullard $195K (first $100K wired in May), $55K from me. No piggyback bank loan anymore.</w:t>
      </w:r>
    </w:p>
    <w:p>
      <w:r>
        <w:rPr>
          <w:b w:val="0"/>
          <w:sz w:val="22"/>
        </w:rPr>
        <w:t>John, your note on the $672K working capital reserve landed. The new structure needs $235,000, not $672,000, because the license bills immediately and the seller carries the acquisition until the SBA takeout. The attached workbook breaks the $235K into components with a month by month draw schedule. Draws taper to zero around month nine as Medicare collections catch payroll. I have no issue with the bank controlling disbursements against census milestones and said so in the schedule.</w:t>
      </w:r>
    </w:p>
    <w:p>
      <w:r>
        <w:rPr>
          <w:b w:val="0"/>
          <w:sz w:val="22"/>
        </w:rPr>
        <w:t>Mary, on your priority list: my 2022, 2023 and 2024 personal returns are ready to send (2025 is with the preparer). Personal financial statement, cash flow and resume are in progress this week. I'll pull the credit report on Credit Karma like you suggested. The seller note is on the debt schedule. Also attached is the fully executed office lease for our Tyler location: 24 months plus two 12 month options, signed June 29.</w:t>
      </w:r>
    </w:p>
    <w:p>
      <w:r>
        <w:rPr>
          <w:b w:val="0"/>
          <w:sz w:val="22"/>
        </w:rPr>
        <w:t>One item I want to be straight about: the lease tenant reads Hickory Hospice, LLC dba Azalea Hospice, the entity from the earlier deal that we set up. Since the operating company will now be Refuge Hospice, LLC under Tyler Hospice Hold, we will assign or amend the lease to the right entity before closing, and the landlord relationship is friendly. Flag it for the lender file however you prefer.</w:t>
      </w:r>
    </w:p>
    <w:p>
      <w:r>
        <w:rPr>
          <w:b w:val="0"/>
          <w:sz w:val="22"/>
        </w:rPr>
        <w:t>Is your lender's acquisition promotion still live, and would this profile qualify for an exception under the $1.5M threshold? Happy to jump on a call this week.</w:t>
      </w:r>
    </w:p>
    <w:p>
      <w:r>
        <w:rPr>
          <w:b w:val="0"/>
          <w:sz w:val="22"/>
        </w:rPr>
        <w:t>Thanks,</w:t>
      </w:r>
    </w:p>
    <w:p>
      <w:r>
        <w:rPr>
          <w:b w:val="0"/>
          <w:sz w:val="22"/>
        </w:rPr>
        <w:t>Geoff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