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Tyler Alternate Delivery Site - Partnership Proposal</w:t>
      </w:r>
    </w:p>
    <w:p>
      <w:r>
        <w:rPr>
          <w:b/>
          <w:i w:val="0"/>
          <w:sz w:val="21"/>
        </w:rPr>
        <w:t>Prepared for Jason [JASON'S LAST NAME] | From Geoff Schackmann, Azalea Hospice | July 28, 2026 | Confidential - discussion draft, not a binding offer</w:t>
      </w:r>
    </w:p>
    <w:p>
      <w:r>
        <w:rPr>
          <w:b w:val="0"/>
          <w:i/>
          <w:sz w:val="21"/>
        </w:rPr>
        <w:t>Everything in this document is a starting point for a conversation, not a demand. The three structures in Section 3 are ordered by how much protection they give you, and I'm genuinely open to any of them. I've done the regulatory homework up front (Section 5) so your counsel can verify rather than start from scratch.</w:t>
      </w:r>
    </w:p>
    <w:p>
      <w:pPr>
        <w:pStyle w:val="Heading1"/>
        <w:keepNext/>
      </w:pPr>
      <w:r>
        <w:rPr>
          <w:color w:val="1F3864"/>
        </w:rPr>
        <w:t>1. What I'm asking for, in one paragraph</w:t>
      </w:r>
    </w:p>
    <w:p>
      <w:r>
        <w:rPr>
          <w:b w:val="0"/>
          <w:i w:val="0"/>
          <w:sz w:val="21"/>
        </w:rPr>
        <w:t>Azalea has a complete hospice operation ready in Tyler: a leased and equipped office at 13387 Highway 69 North, a clinical team (RN case management, CNAs, social work, chaplain coverage, a contracted medical director), insurance binding August 1, and patients ready to admit today. What we don't have is a billable Medicare number: our license acquisition is in process, but its billing number comes with a mandatory prepayment-review period that creates a payment gap I'd rather not fund with patients waiting. I'm proposing that your hospice add Tyler as an additional delivery site under your existing license and CCN, with my team operating it for a defined interim period, until our own license is fully in place. You'd add Smith County to your HHSC service area (a TULIP amendment) and report the Tyler location on your CMS-855A. We would run it; you would own it, control it, and be protected as set out below.</w:t>
      </w:r>
    </w:p>
    <w:p>
      <w:pPr>
        <w:pStyle w:val="Heading1"/>
        <w:keepNext/>
      </w:pPr>
      <w:r>
        <w:rPr>
          <w:color w:val="1F3864"/>
        </w:rPr>
        <w:t>2. Why now - the honest numbers</w:t>
      </w:r>
    </w:p>
    <w:p>
      <w:r>
        <w:rPr>
          <w:b w:val="0"/>
          <w:i w:val="0"/>
          <w:sz w:val="21"/>
        </w:rPr>
        <w:t>I want you to see the actual reason for the timing rather than a sales pitch. The license we're acquiring was reactivated by its Medicare contractor in March 2026, and under 42 CFR 424.527 it enters a provisional period of enhanced oversight, with prepayment medical review, the moment it submits its first claim. Prepayment review commonly delays payment 60 to 120+ days. We stress-tested our financial model against those timelines. The results, on top of our full committed capital stack:</w:t>
      </w:r>
    </w:p>
    <w:tbl>
      <w:tblPr>
        <w:tblStyle w:val="LightGrid-Accent1"/>
        <w:tblW w:type="auto" w:w="0"/>
        <w:jc w:val="left"/>
        <w:tblLook w:firstColumn="1" w:firstRow="1" w:lastColumn="0" w:lastRow="0" w:noHBand="0" w:noVBand="1" w:val="04A0"/>
      </w:tblPr>
      <w:tblGrid>
        <w:gridCol w:w="2160"/>
        <w:gridCol w:w="2160"/>
        <w:gridCol w:w="2160"/>
        <w:gridCol w:w="2160"/>
      </w:tblGrid>
      <w:tr>
        <w:trPr>
          <w:tblHeader w:val="true"/>
        </w:trPr>
        <w:tc>
          <w:tcPr>
            <w:tcW w:type="dxa" w:w="3024"/>
          </w:tcPr>
          <w:p>
            <w:r/>
            <w:r>
              <w:rPr>
                <w:b/>
                <w:sz w:val="19"/>
              </w:rPr>
              <w:t>Scenario</w:t>
            </w:r>
          </w:p>
        </w:tc>
        <w:tc>
          <w:tcPr>
            <w:tcW w:type="dxa" w:w="2304"/>
          </w:tcPr>
          <w:p>
            <w:r/>
            <w:r>
              <w:rPr>
                <w:b/>
                <w:sz w:val="19"/>
              </w:rPr>
              <w:t>Additional capital needed</w:t>
            </w:r>
          </w:p>
        </w:tc>
        <w:tc>
          <w:tcPr>
            <w:tcW w:type="dxa" w:w="2160"/>
          </w:tcPr>
          <w:p>
            <w:r/>
            <w:r>
              <w:rPr>
                <w:b/>
                <w:sz w:val="19"/>
              </w:rPr>
              <w:t>Cash goes negative</w:t>
            </w:r>
          </w:p>
        </w:tc>
        <w:tc>
          <w:tcPr>
            <w:tcW w:type="dxa" w:w="2304"/>
          </w:tcPr>
          <w:p>
            <w:r/>
            <w:r>
              <w:rPr>
                <w:b/>
                <w:sz w:val="19"/>
              </w:rPr>
              <w:t>Peak receivables held in review</w:t>
            </w:r>
          </w:p>
        </w:tc>
      </w:tr>
      <w:tr>
        <w:tc>
          <w:tcPr>
            <w:tcW w:type="dxa" w:w="3024"/>
          </w:tcPr>
          <w:p>
            <w:r/>
            <w:r>
              <w:rPr>
                <w:sz w:val="19"/>
              </w:rPr>
              <w:t>Normal 30-day processing</w:t>
            </w:r>
          </w:p>
        </w:tc>
        <w:tc>
          <w:tcPr>
            <w:tcW w:type="dxa" w:w="2304"/>
          </w:tcPr>
          <w:p>
            <w:r/>
            <w:r>
              <w:rPr>
                <w:sz w:val="19"/>
              </w:rPr>
              <w:t>$0</w:t>
            </w:r>
          </w:p>
        </w:tc>
        <w:tc>
          <w:tcPr>
            <w:tcW w:type="dxa" w:w="2160"/>
          </w:tcPr>
          <w:p>
            <w:r/>
            <w:r>
              <w:rPr>
                <w:sz w:val="19"/>
              </w:rPr>
              <w:t>Never</w:t>
            </w:r>
          </w:p>
        </w:tc>
        <w:tc>
          <w:tcPr>
            <w:tcW w:type="dxa" w:w="2304"/>
          </w:tcPr>
          <w:p>
            <w:r/>
            <w:r>
              <w:rPr>
                <w:sz w:val="19"/>
              </w:rPr>
              <w:t>$306K (ordinary A/R)</w:t>
            </w:r>
          </w:p>
        </w:tc>
      </w:tr>
      <w:tr>
        <w:tc>
          <w:tcPr>
            <w:tcW w:type="dxa" w:w="3024"/>
          </w:tcPr>
          <w:p>
            <w:r/>
            <w:r>
              <w:rPr>
                <w:sz w:val="19"/>
              </w:rPr>
              <w:t>Prepayment review ~90 days</w:t>
            </w:r>
          </w:p>
        </w:tc>
        <w:tc>
          <w:tcPr>
            <w:tcW w:type="dxa" w:w="2304"/>
          </w:tcPr>
          <w:p>
            <w:r/>
            <w:r>
              <w:rPr>
                <w:sz w:val="19"/>
              </w:rPr>
              <w:t>$155,489</w:t>
            </w:r>
          </w:p>
        </w:tc>
        <w:tc>
          <w:tcPr>
            <w:tcW w:type="dxa" w:w="2160"/>
          </w:tcPr>
          <w:p>
            <w:r/>
            <w:r>
              <w:rPr>
                <w:sz w:val="19"/>
              </w:rPr>
              <w:t>Month 3</w:t>
            </w:r>
          </w:p>
        </w:tc>
        <w:tc>
          <w:tcPr>
            <w:tcW w:type="dxa" w:w="2304"/>
          </w:tcPr>
          <w:p>
            <w:r/>
            <w:r>
              <w:rPr>
                <w:sz w:val="19"/>
              </w:rPr>
              <w:t>$444,001</w:t>
            </w:r>
          </w:p>
        </w:tc>
      </w:tr>
      <w:tr>
        <w:tc>
          <w:tcPr>
            <w:tcW w:type="dxa" w:w="3024"/>
          </w:tcPr>
          <w:p>
            <w:r/>
            <w:r>
              <w:rPr>
                <w:sz w:val="19"/>
              </w:rPr>
              <w:t>Prepayment review ~120+ days</w:t>
            </w:r>
          </w:p>
        </w:tc>
        <w:tc>
          <w:tcPr>
            <w:tcW w:type="dxa" w:w="2304"/>
          </w:tcPr>
          <w:p>
            <w:r/>
            <w:r>
              <w:rPr>
                <w:sz w:val="19"/>
              </w:rPr>
              <w:t>$314,640</w:t>
            </w:r>
          </w:p>
        </w:tc>
        <w:tc>
          <w:tcPr>
            <w:tcW w:type="dxa" w:w="2160"/>
          </w:tcPr>
          <w:p>
            <w:r/>
            <w:r>
              <w:rPr>
                <w:sz w:val="19"/>
              </w:rPr>
              <w:t>Month 3</w:t>
            </w:r>
          </w:p>
        </w:tc>
        <w:tc>
          <w:tcPr>
            <w:tcW w:type="dxa" w:w="2304"/>
          </w:tcPr>
          <w:p>
            <w:r/>
            <w:r>
              <w:rPr>
                <w:sz w:val="19"/>
              </w:rPr>
              <w:t>$602,004</w:t>
            </w:r>
          </w:p>
        </w:tc>
      </w:tr>
      <w:tr>
        <w:tc>
          <w:tcPr>
            <w:tcW w:type="dxa" w:w="3024"/>
          </w:tcPr>
          <w:p>
            <w:r/>
            <w:r>
              <w:rPr>
                <w:sz w:val="19"/>
              </w:rPr>
              <w:t>~120+ days plus a slow census ramp</w:t>
            </w:r>
          </w:p>
        </w:tc>
        <w:tc>
          <w:tcPr>
            <w:tcW w:type="dxa" w:w="2304"/>
          </w:tcPr>
          <w:p>
            <w:r/>
            <w:r>
              <w:rPr>
                <w:sz w:val="19"/>
              </w:rPr>
              <w:t>$312,163</w:t>
            </w:r>
          </w:p>
        </w:tc>
        <w:tc>
          <w:tcPr>
            <w:tcW w:type="dxa" w:w="2160"/>
          </w:tcPr>
          <w:p>
            <w:r/>
            <w:r>
              <w:rPr>
                <w:sz w:val="19"/>
              </w:rPr>
              <w:t>Month 3 (14 months underwater)</w:t>
            </w:r>
          </w:p>
        </w:tc>
        <w:tc>
          <w:tcPr>
            <w:tcW w:type="dxa" w:w="2304"/>
          </w:tcPr>
          <w:p>
            <w:r/>
            <w:r>
              <w:rPr>
                <w:sz w:val="19"/>
              </w:rPr>
              <w:t>$511,703</w:t>
            </w:r>
          </w:p>
        </w:tc>
      </w:tr>
    </w:tbl>
    <w:p>
      <w:r>
        <w:rPr>
          <w:b w:val="0"/>
          <w:i w:val="0"/>
          <w:sz w:val="21"/>
        </w:rPr>
        <w:t>Two things worth noting. First, in every scenario the money is not lost - it is sitting in the review queue and releases when claims clear; our 36-month cash position ends identically. This is a timing problem, not a viability problem. Second, that timing problem is exactly what billing through your established, review-free number for an interim period solves. That's the entire economic logic of this proposal, and it's why the arrangement is genuinely temporary: the moment our own number clears review and our acquisition completes, the reason for this arrangement ends.</w:t>
      </w:r>
    </w:p>
    <w:p>
      <w:pPr>
        <w:pStyle w:val="Heading1"/>
        <w:keepNext/>
      </w:pPr>
      <w:r>
        <w:rPr>
          <w:color w:val="1F3864"/>
        </w:rPr>
        <w:t>3. Three ways to structure it - your pick</w:t>
      </w:r>
    </w:p>
    <w:p>
      <w:r>
        <w:rPr>
          <w:b w:val="0"/>
          <w:i w:val="0"/>
          <w:sz w:val="21"/>
        </w:rPr>
        <w:t>Each option keeps your hospice as the sole licensed, certified, enrolled operator of the Tyler site. The differences are in how my team plugs in and how I'm compensated. Each sits inside a recognized federal safe harbor, detailed in Section 5.</w:t>
      </w:r>
    </w:p>
    <w:p>
      <w:pPr>
        <w:pStyle w:val="Heading2"/>
        <w:keepNext/>
      </w:pPr>
      <w:r>
        <w:rPr>
          <w:color w:val="1F3864"/>
        </w:rPr>
        <w:t>Option 1 - Employment (simplest answer to the ownership question: there isn't one)</w:t>
      </w:r>
    </w:p>
    <w:p>
      <w:r>
        <w:rPr>
          <w:b w:val="0"/>
          <w:i w:val="0"/>
          <w:sz w:val="21"/>
        </w:rPr>
        <w:t>My Tyler clinical team and I become W-2 employees of your hospice for the interim period. You run payroll; we run the site day to day under your policies and your compliance program. Compensation can include a performance bonus tied to the Tyler site's results, because payments to bona fide employees are statutorily excepted from the federal Anti-Kickback Statute - this is the one structure where performance-based pay is expressly protected. Your exposure is ordinary employer exposure, covered by your existing workers' comp and our professional liability arrangements. Ownership of your company does not change by a single percentage point.</w:t>
      </w:r>
    </w:p>
    <w:p>
      <w:pPr>
        <w:pStyle w:val="Heading2"/>
        <w:keepNext/>
      </w:pPr>
      <w:r>
        <w:rPr>
          <w:color w:val="1F3864"/>
        </w:rPr>
        <w:t>Option 2 - Management services agreement (flat fee, arm's length)</w:t>
      </w:r>
    </w:p>
    <w:p>
      <w:r>
        <w:rPr>
          <w:b w:val="0"/>
          <w:i w:val="0"/>
          <w:sz w:val="21"/>
        </w:rPr>
        <w:t>My management company operates the Tyler site under a written management agreement with your hospice - the same structure we're using today to operate under our seller's license, so the documents are already built and lawyered. You'd hold reserved approval rights over admissions commencement, clinical leadership hires, contracts over a threshold, and anything touching your license or enrollment. Compensation is a flat, fair-market-value monthly fee set in advance for the term - deliberately NOT a percentage of revenue, because the personal-services safe harbor requires compensation that doesn't vary with the volume or value of business generated. Again, no ownership change.</w:t>
      </w:r>
    </w:p>
    <w:p>
      <w:pPr>
        <w:pStyle w:val="Heading2"/>
        <w:keepNext/>
      </w:pPr>
      <w:r>
        <w:rPr>
          <w:color w:val="1F3864"/>
        </w:rPr>
        <w:t>Option 3 - Ring-fenced joint venture (only if you'd rather I have skin in the game)</w:t>
      </w:r>
    </w:p>
    <w:p>
      <w:r>
        <w:rPr>
          <w:b w:val="0"/>
          <w:i w:val="0"/>
          <w:sz w:val="21"/>
        </w:rPr>
        <w:t>A new subsidiary of your hospice holds the Tyler site; I buy a bona fide minority stake (under 40%, at fair value, on the same terms any investor would get) and my team operates it under a management agreement per Option 2. Your existing company stays completely walled off. This is the most paperwork and the most counsel time, and I list it only because some partners prefer an operator who owns a piece of the outcome over a vendor or employee. If that's not you, Options 1 and 2 are cleaner.</w:t>
      </w:r>
    </w:p>
    <w:p>
      <w:pPr>
        <w:pStyle w:val="Heading1"/>
        <w:keepNext/>
      </w:pPr>
      <w:r>
        <w:rPr>
          <w:color w:val="1F3864"/>
        </w:rPr>
        <w:t>4. Your protections, regardless of option</w:t>
      </w:r>
    </w:p>
    <w:p>
      <w:pPr>
        <w:pStyle w:val="ListBullet"/>
      </w:pPr>
      <w:r>
        <w:rPr>
          <w:sz w:val="21"/>
        </w:rPr>
        <w:t>You are the licensee. Nothing transfers your license, CCN, provider agreement, or any ownership interest. The agreement will say so expressly.</w:t>
      </w:r>
    </w:p>
    <w:p>
      <w:pPr>
        <w:pStyle w:val="ListBullet"/>
      </w:pPr>
      <w:r>
        <w:rPr>
          <w:sz w:val="21"/>
        </w:rPr>
        <w:t>Reserved approval rights: first admissions, clinical leadership changes, contracts and spending over an agreed threshold, and any filing touching CMS or HHSC require your written sign-off.</w:t>
      </w:r>
    </w:p>
    <w:p>
      <w:pPr>
        <w:pStyle w:val="ListBullet"/>
      </w:pPr>
      <w:r>
        <w:rPr>
          <w:sz w:val="21"/>
        </w:rPr>
        <w:t>Banking: Tyler-site revenue lands in your account. You keep an independent signatory at all times and can revoke any access we're granted, at will, on notice.</w:t>
      </w:r>
    </w:p>
    <w:p>
      <w:pPr>
        <w:pStyle w:val="ListBullet"/>
      </w:pPr>
      <w:r>
        <w:rPr>
          <w:sz w:val="21"/>
        </w:rPr>
        <w:t>Indemnification: we indemnify you for anything arising from the Tyler site's operations during the term; you're named additional insured on our professional and general liability coverage (binding August 1) and the site carries workers' comp from day one.</w:t>
      </w:r>
    </w:p>
    <w:p>
      <w:pPr>
        <w:pStyle w:val="ListBullet"/>
      </w:pPr>
      <w:r>
        <w:rPr>
          <w:sz w:val="21"/>
        </w:rPr>
        <w:t>Termination: you can terminate on short notice if your regulatory counsel concludes the arrangement threatens your enrollment or licensure - same clause our current interim agreement carries.</w:t>
      </w:r>
    </w:p>
    <w:p>
      <w:pPr>
        <w:pStyle w:val="ListBullet"/>
      </w:pPr>
      <w:r>
        <w:rPr>
          <w:sz w:val="21"/>
        </w:rPr>
        <w:t>A written, dated exit (below), so this never becomes an open-ended entanglement.</w:t>
      </w:r>
    </w:p>
    <w:p>
      <w:pPr>
        <w:pStyle w:val="Heading1"/>
        <w:keepNext/>
      </w:pPr>
      <w:r>
        <w:rPr>
          <w:color w:val="1F3864"/>
        </w:rPr>
        <w:t>5. The regulatory homework (for your counsel)</w:t>
      </w:r>
    </w:p>
    <w:p>
      <w:pPr>
        <w:pStyle w:val="ListBullet"/>
      </w:pPr>
      <w:r>
        <w:rPr>
          <w:sz w:val="21"/>
        </w:rPr>
        <w:t>Mechanics: Smith County is added to your HHSC service area via a TULIP amendment; the Tyler office is reported as an additional practice location on your CMS-855A via PECOS. Multiple locations under one CCN are a single hospice for Medicare purposes - no new certification, no new survey cycle beyond your normal one, and your accreditor is notified per its reporting rules.</w:t>
      </w:r>
    </w:p>
    <w:p>
      <w:pPr>
        <w:pStyle w:val="ListBullet"/>
      </w:pPr>
      <w:r>
        <w:rPr>
          <w:sz w:val="21"/>
        </w:rPr>
        <w:t>Option 1 rests on the bona fide employment exception to the Anti-Kickback Statute (42 U.S.C. 1320a-7b(b)(3)(B); 42 CFR 1001.952(i)) - performance pay to W-2 employees is expressly protected.</w:t>
      </w:r>
    </w:p>
    <w:p>
      <w:pPr>
        <w:pStyle w:val="ListBullet"/>
      </w:pPr>
      <w:r>
        <w:rPr>
          <w:sz w:val="21"/>
        </w:rPr>
        <w:t>Option 2 is built to the personal services and management contracts safe harbor (42 CFR 1001.952(d)): written agreement of at least one year, services and methodology specified in advance, compensation at fair market value and not determined by volume or value of business generated.</w:t>
      </w:r>
    </w:p>
    <w:p>
      <w:pPr>
        <w:pStyle w:val="ListBullet"/>
      </w:pPr>
      <w:r>
        <w:rPr>
          <w:sz w:val="21"/>
        </w:rPr>
        <w:t>Option 3 is built to the small entity investment safe harbor (42 CFR 1001.952(a)(2)), including its caps on investor composition and revenue and its same-terms requirement.</w:t>
      </w:r>
    </w:p>
    <w:p>
      <w:pPr>
        <w:pStyle w:val="ListBullet"/>
      </w:pPr>
      <w:r>
        <w:rPr>
          <w:sz w:val="21"/>
        </w:rPr>
        <w:t>I'm not asking you to take my word on any of this - both sides should have healthcare regulatory counsel bless the final structure before a single patient is admitted. Ours is already engaged on the parallel license acquisition.</w:t>
      </w:r>
    </w:p>
    <w:p>
      <w:pPr>
        <w:pStyle w:val="Heading1"/>
        <w:keepNext/>
      </w:pPr>
      <w:r>
        <w:rPr>
          <w:color w:val="1F3864"/>
        </w:rPr>
        <w:t>6. The exit - defined, dated, and priced in advance</w:t>
      </w:r>
    </w:p>
    <w:p>
      <w:r>
        <w:rPr>
          <w:b w:val="0"/>
          <w:i w:val="0"/>
          <w:sz w:val="21"/>
        </w:rPr>
        <w:t>This arrangement ends when our own license is billable, which we currently expect in the first quarter of 2027. At that point, and only with your consent at signing rather than a negotiation later, we exercise a pre-agreed option to transition the Tyler site's patients, staff, and referral relationships to our license, priced by a formula we set now: a per-patient-of-average-daily-census amount anchored to current market comparables, applied to the census actually transferred on the transition date. You get paid for exactly the value that walks; there's nothing to argue about later because the formula, not the number, is what we sign. If we never stand up our own license, you keep the Tyler site, its census, and its staff - which is to say, your downside case is that you acquired a functioning Tyler operation at no acquisition cost.</w:t>
      </w:r>
    </w:p>
    <w:p>
      <w:pPr>
        <w:pStyle w:val="Heading1"/>
        <w:keepNext/>
      </w:pPr>
      <w:r>
        <w:rPr>
          <w:color w:val="1F3864"/>
        </w:rPr>
        <w:t>7. Suggested next steps</w:t>
      </w:r>
    </w:p>
    <w:p>
      <w:pPr>
        <w:pStyle w:val="ListBullet"/>
      </w:pPr>
      <w:r>
        <w:rPr>
          <w:sz w:val="21"/>
        </w:rPr>
        <w:t>Pick the option (or tell me what's wrong with all three).</w:t>
      </w:r>
    </w:p>
    <w:p>
      <w:pPr>
        <w:pStyle w:val="ListBullet"/>
      </w:pPr>
      <w:r>
        <w:rPr>
          <w:sz w:val="21"/>
        </w:rPr>
        <w:t>We each have healthcare counsel review a one-page term sheet before any drafting.</w:t>
      </w:r>
    </w:p>
    <w:p>
      <w:pPr>
        <w:pStyle w:val="ListBullet"/>
      </w:pPr>
      <w:r>
        <w:rPr>
          <w:sz w:val="21"/>
        </w:rPr>
        <w:t>TULIP county amendment and 855A location filing prepared for your signature - my team does the paperwork, you review and file.</w:t>
      </w:r>
    </w:p>
    <w:p>
      <w:pPr>
        <w:pStyle w:val="ListBullet"/>
      </w:pPr>
      <w:r>
        <w:rPr>
          <w:sz w:val="21"/>
        </w:rPr>
        <w:t>Target: first Tyler admission under your license within 2-3 weeks of the term sheet.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Tyler Alternate Delivery Site - Proposal for Jason | Confidential | </w:t>
    </w:r>
    <w:r>
      <w:rPr>
        <w:sz w:val="16"/>
      </w:rPr>
      <w:t xml:space="preserve">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