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Draft reply - John Hart follow-up questions (7/20)</w:t>
      </w:r>
    </w:p>
    <w:p>
      <w:r>
        <w:rPr>
          <w:b/>
          <w:sz w:val="22"/>
        </w:rPr>
        <w:t>To: John Hart; Mary Brownmiller | From: geoff@azaleahospice.com | Re: Azalea Hospice SBA Funding Request</w:t>
      </w:r>
    </w:p>
    <w:p>
      <w:r>
        <w:rPr>
          <w:b w:val="0"/>
          <w:sz w:val="22"/>
        </w:rPr>
        <w:t>John,</w:t>
      </w:r>
    </w:p>
    <w:p>
      <w:r>
        <w:rPr>
          <w:b w:val="0"/>
          <w:sz w:val="22"/>
        </w:rPr>
        <w:t>Thanks for the quick turnaround, and for shopping this to your other lenders too - the more shots on goal the better. Makes sense that we're under the $1M promotional threshold; I appreciate you working your lender for the best terms anyway.</w:t>
      </w:r>
    </w:p>
    <w:p>
      <w:r>
        <w:rPr>
          <w:b w:val="0"/>
          <w:sz w:val="22"/>
        </w:rPr>
        <w:t>On your first question: this should be underwritten as a change of ownership, not a pure startup. The borrower, Tyler Hospice Hold, LLC, is new, but the asset we're buying, Refuge Hospice, LLC, has been operating and billing Medicare since its CMS certification on 1/8/2024, so there's real operating history at the target level, just not at the buyer level. That's the framing in the business plan addendum too. Our equity injection is $250,000 on a $750,000 project, 33 percent, so we're well above the minimum either way this gets classified - that shouldn't be a swing factor.</w:t>
      </w:r>
    </w:p>
    <w:p>
      <w:r>
        <w:rPr>
          <w:b w:val="0"/>
          <w:sz w:val="22"/>
        </w:rPr>
        <w:t>On the second question: yes, we're already after the sellers for Refuge's three years of tax returns and current financials, since the license has been certified and billing since January 2024. I'll push on that this week and get it to you and Mary as soon as it lands. I also understand a third party valuation will be required on an acquisition like this - I'll hold off ordering one until we know which lender is running with it, since I know each bank has its own approved list.</w:t>
      </w:r>
    </w:p>
    <w:p>
      <w:r>
        <w:rPr>
          <w:b w:val="0"/>
          <w:sz w:val="22"/>
        </w:rPr>
        <w:t>On the lease, I don't know yet whether the landlord will go to a full ten years including options - current lease is 24 months plus two 12-month options, so we're short. Good to hear the renewal doesn't need a stipulated rate and can sit at the landlord's discretion; that gives me a much easier ask. I'll reach out to Fair Investments this week and come back to you with where that stands.</w:t>
      </w:r>
    </w:p>
    <w:p>
      <w:r>
        <w:rPr>
          <w:b w:val="0"/>
          <w:sz w:val="22"/>
        </w:rPr>
        <w:t>Let me know what you find in the business plan this afternoon, and happy to jump on a call whenever works for you and Mary.</w:t>
      </w:r>
    </w:p>
    <w:p>
      <w:r>
        <w:rPr>
          <w:b w:val="0"/>
          <w:sz w:val="22"/>
        </w:rPr>
        <w:t>Thanks,</w:t>
      </w:r>
    </w:p>
    <w:p>
      <w:r>
        <w:rPr>
          <w:b w:val="0"/>
          <w:sz w:val="22"/>
        </w:rPr>
        <w:t>Geoff</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Azalea Hospice - Reply to SourceFunding Follow-up | Confidential | </w:t>
    </w:r>
    <w:r>
      <w:rPr>
        <w:sz w:val="16"/>
      </w:rPr>
      <w:t xml:space="preserve">Page </w:t>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ptos Display" w:hAnsi="Aptos Display"/>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ptos" w:hAnsi="Apto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ptos" w:hAnsi="Aptos"/>
    </w:rPr>
  </w:style>
  <w:style w:type="paragraph" w:styleId="BodyText">
    <w:name w:val="Body Text"/>
    <w:basedOn w:val="Normal"/>
    <w:link w:val="BodyTextChar"/>
    <w:uiPriority w:val="99"/>
    <w:unhideWhenUsed/>
    <w:rsid w:val="00AA1D8D"/>
    <w:pPr>
      <w:spacing w:after="120"/>
    </w:pPr>
    <w:rPr>
      <w:rFonts w:ascii="Aptos" w:hAnsi="Aptos"/>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