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Draft reply - SBA Follow up &amp; Questions thread</w:t>
      </w:r>
    </w:p>
    <w:p>
      <w:r>
        <w:rPr>
          <w:b/>
          <w:sz w:val="22"/>
        </w:rPr>
        <w:t>To: John Hart; Mary Brownmiller | From: gs@h-care.us | Re: SBA Follow up &amp; Questions</w:t>
      </w:r>
    </w:p>
    <w:p>
      <w:r>
        <w:rPr>
          <w:b w:val="0"/>
          <w:sz w:val="22"/>
        </w:rPr>
        <w:t>John and Mary,</w:t>
      </w:r>
    </w:p>
    <w:p>
      <w:r>
        <w:rPr>
          <w:b w:val="0"/>
          <w:sz w:val="22"/>
        </w:rPr>
        <w:t>First, an apology for the quiet stretch. The delay was on the acquisition side: the license we were originally acquiring did not make it through the process, and rather than force a weak asset into the file I moved the acquisition to a stronger one. That took a few weeks to negotiate and paper, and it changed some numbers, so I wanted to come back to you with a complete, consistent package instead of pieces.</w:t>
      </w:r>
    </w:p>
    <w:p>
      <w:r>
        <w:rPr>
          <w:b w:val="0"/>
          <w:sz w:val="22"/>
        </w:rPr>
        <w:t>The new target is Refuge Hospice, a Texas license certified for BOTH Medicare and Medicaid, ready to bill day one. The price went from $300K to $500K, and that increase is the certification, not deal creep. Texas has effectively frozen new Medicaid hospice enrollment and CMS put a national moratorium on new hospice enrollments in May, so dual certified licenses are scarce and trade at a premium. More importantly for the credit, Medicaid certification adds nursing facility room and board billing, which widens the referral base and directly increases revenue over a Medicare only license. Better asset, better collateral, better top line.</w:t>
      </w:r>
    </w:p>
    <w:p>
      <w:r>
        <w:rPr>
          <w:b w:val="0"/>
          <w:sz w:val="22"/>
        </w:rPr>
        <w:t>A few things changed since I last wrote. Refuge Hospice, LLC ($500K, Medicare and Medicaid, CMS certified 1/8/2024) replaces the prior Medicare only license at $300K - the purchase agreement was signed 7/14, structured 49% at closing and 51% in January under the CMS 36 month rule.</w:t>
      </w:r>
    </w:p>
    <w:p>
      <w:r>
        <w:rPr>
          <w:b w:val="0"/>
          <w:sz w:val="22"/>
        </w:rPr>
        <w:t>The financing sequence also got stronger. An interim bank note through Jim Bullard's Texas bank relationship ($500K, 6%, 36 months) funds in September and pays the sellers in full, four months early. The SBA loan then funds in January at the 51% transfer and refinances that bank note (payoff about $462K) plus working capital. That makes your file a clean bank-debt refinance at the 100% ownership date: no seller note to refinance, no seller guaranty questions, and debt service drops from $15,211 to $6,747 a month.</w:t>
      </w:r>
    </w:p>
    <w:p>
      <w:r>
        <w:rPr>
          <w:b w:val="0"/>
          <w:sz w:val="22"/>
        </w:rPr>
        <w:t>Working capital came down from $672K to $235K, which answers the note from 6/3: the license bills immediately and the bank note carries the acquisition until the SBA refinance, so the reserve only has to bridge the ramp rather than fund the purchase. The attached workbook breaks the $235K into components with a monthly draw schedule, and I'm fine with the bank controlling disbursements against census milestones. Equity injection is $250,000 cash, a third of the $750,000 project - Jim Bullard's $195K (the first $100K wired in May) plus $55K from me. It funds the license down payment and the ramp, and the workbook now has a line-by-line equity injection trace so the documentation is ready made.</w:t>
      </w:r>
    </w:p>
    <w:p>
      <w:r>
        <w:rPr>
          <w:b w:val="0"/>
          <w:sz w:val="22"/>
        </w:rPr>
        <w:t>The office lease is signed as well - fully executed 6/29 for our Tyler location, 24 months plus two 12 month options. One housekeeping item: the tenant on the lease is Hickory Hospice, LLC, the entity from the earlier deal, so we'll assign or amend it to the correct operating entity before closing. The landlord relationship is friendly, so I don't expect that to be a problem.</w:t>
      </w:r>
    </w:p>
    <w:p>
      <w:r>
        <w:rPr>
          <w:b w:val="0"/>
          <w:sz w:val="22"/>
        </w:rPr>
        <w:t>Here's what I'm sending along:</w:t>
      </w:r>
    </w:p>
    <w:p>
      <w:pPr>
        <w:pStyle w:val="ListBullet"/>
      </w:pPr>
      <w:r>
        <w:rPr>
          <w:sz w:val="22"/>
        </w:rPr>
        <w:t>UOP Azalea Refuge Rev2.00.xlsx - the structure sheet redone: loan structure, the $235K working capital detail with the draw schedule, the financing timeline, and the equity injection trace.</w:t>
      </w:r>
    </w:p>
    <w:p>
      <w:pPr>
        <w:pStyle w:val="ListBullet"/>
      </w:pPr>
      <w:r>
        <w:rPr>
          <w:sz w:val="22"/>
        </w:rPr>
        <w:t>2 Company Profile FILLED.pdf and 3 Use of Proceeds FILLED.pdf - your forms, filled out.</w:t>
      </w:r>
    </w:p>
    <w:p>
      <w:pPr>
        <w:pStyle w:val="ListBullet"/>
      </w:pPr>
      <w:r>
        <w:rPr>
          <w:sz w:val="22"/>
        </w:rPr>
        <w:t>5 Business Debt Schedule FILLED.pdf - the bank note is on it, per Mary's note.</w:t>
      </w:r>
    </w:p>
    <w:p>
      <w:pPr>
        <w:pStyle w:val="ListBullet"/>
      </w:pPr>
      <w:r>
        <w:rPr>
          <w:sz w:val="22"/>
        </w:rPr>
        <w:t>1 Checklist STATUS RESPONSE.docx - item by item status on the whole checklist, plus answers to the ten COVID questions.</w:t>
      </w:r>
    </w:p>
    <w:p>
      <w:pPr>
        <w:pStyle w:val="ListBullet"/>
      </w:pPr>
      <w:r>
        <w:rPr>
          <w:sz w:val="22"/>
        </w:rPr>
        <w:t>7 Financial Projections Rev4.10.xlsx - monthly for 36 months, officer salaries split out.</w:t>
      </w:r>
    </w:p>
    <w:p>
      <w:pPr>
        <w:pStyle w:val="ListBullet"/>
      </w:pPr>
      <w:r>
        <w:rPr>
          <w:sz w:val="22"/>
        </w:rPr>
        <w:t>6 Projection Assumptions Narrative.docx - the written assumptions behind the numbers.</w:t>
      </w:r>
    </w:p>
    <w:p>
      <w:pPr>
        <w:pStyle w:val="ListBullet"/>
      </w:pPr>
      <w:r>
        <w:rPr>
          <w:sz w:val="22"/>
        </w:rPr>
        <w:t>Azalea SBA Business Plan Rev6.00.docx - the full updated plan in editable Word, rewritten for Refuge, plus 4 Business Plan ADDENDUM Refuge.docx as a one page summary if you want the quick version.</w:t>
      </w:r>
    </w:p>
    <w:p>
      <w:pPr>
        <w:pStyle w:val="ListBullet"/>
      </w:pPr>
      <w:r>
        <w:rPr>
          <w:sz w:val="22"/>
        </w:rPr>
        <w:t>10 Executed Lease Gary House 6.29.26.pdf, and the signed Refuge purchase agreement (MIPA).</w:t>
      </w:r>
    </w:p>
    <w:p>
      <w:r>
        <w:rPr>
          <w:b w:val="0"/>
          <w:sz w:val="22"/>
        </w:rPr>
        <w:t>Coming separately through your secure upload: my 2022, 2023 and 2024 personal returns, then the personal financial statement, personal history form, cash flow statement, credit report and driver license as I finish them this week.</w:t>
      </w:r>
    </w:p>
    <w:p>
      <w:r>
        <w:rPr>
          <w:b w:val="0"/>
          <w:sz w:val="22"/>
        </w:rPr>
        <w:t>Mary, on your priority list: my 2022, 2023 and 2024 personal returns are ready to send (2025 is with the preparer). Personal financial statement, cash flow and resume are in progress this week, and I'll pull the credit report on Credit Karma like you suggested.</w:t>
      </w:r>
    </w:p>
    <w:p>
      <w:r>
        <w:rPr>
          <w:b w:val="0"/>
          <w:sz w:val="22"/>
        </w:rPr>
        <w:t>John, is your lender's acquisition promotion still live, and would this profile qualify for an exception under the $1.5M threshold? Happy to jump on a call this week.</w:t>
      </w:r>
    </w:p>
    <w:p>
      <w:r>
        <w:rPr>
          <w:b w:val="0"/>
          <w:sz w:val="22"/>
        </w:rPr>
        <w:t>Thanks for sticking with me through the pivot. The file is stronger for it.</w:t>
      </w:r>
    </w:p>
    <w:p>
      <w:r>
        <w:rPr>
          <w:b w:val="0"/>
          <w:sz w:val="22"/>
        </w:rPr>
        <w:t>Geoff</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Reply to SourceFunding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