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Draft email to John Hart</w:t>
      </w:r>
    </w:p>
    <w:p>
      <w:r>
        <w:rPr>
          <w:b/>
          <w:sz w:val="20"/>
        </w:rPr>
        <w:t>To: john.hart@sourcefundingtexas.com | From: gs@h-care.us | Subject: Azalea Hospice - updated SBA package</w:t>
      </w:r>
    </w:p>
    <w:p>
      <w:r>
        <w:rPr>
          <w:b w:val="0"/>
          <w:sz w:val="20"/>
        </w:rPr>
        <w:t>John,</w:t>
      </w:r>
    </w:p>
    <w:p>
      <w:r>
        <w:rPr>
          <w:b w:val="0"/>
          <w:sz w:val="20"/>
        </w:rPr>
        <w:t>Good news and a structure update. The Hickory deal is dead - they failed their site survey, so we walked. We moved to a stronger target: Refuge Hospice, a Tyler license that is both Medicare and Medicaid certified and ready to bill day one. Purchase agreement is in final negotiation at $500,000.</w:t>
      </w:r>
    </w:p>
    <w:p>
      <w:r>
        <w:rPr>
          <w:b w:val="0"/>
          <w:sz w:val="20"/>
        </w:rPr>
        <w:t>The ask is simpler than before. One SBA 7(a) loan of $500,000. No more piggyback bank loan. Seller is financing the balance short term ($125K down, $31,250 a month from September, balance in January, 6%, prepayable without penalty) and the SBA loan takes that note out in September plus working capital for the ramp. Equity injection is $250,000 cash, a third of the $750,000 project - Jim Bullard $195K (first $100K already wired) and $55K from me.</w:t>
      </w:r>
    </w:p>
    <w:p>
      <w:r>
        <w:rPr>
          <w:b w:val="0"/>
          <w:sz w:val="20"/>
        </w:rPr>
        <w:t>Attached: the filled Company Profile, Use of Proceeds, and Business Debt Schedule from your checklist, an item-by-item status on everything else, the purchase agreement, and the financial model (monthly for 36 months with written assumptions - officer salaries split out like you asked). My personal returns for 2022-2024 are ready to send separately, 2025 is with the CPA.</w:t>
      </w:r>
    </w:p>
    <w:p>
      <w:r>
        <w:rPr>
          <w:b w:val="0"/>
          <w:sz w:val="20"/>
        </w:rPr>
        <w:t>Still collecting: my 413 and cash flow statement, the sellers' interim financials and returns, and the office lease. Item-by-item status is in the attachment so your lenders can see exactly where we are.</w:t>
      </w:r>
    </w:p>
    <w:p>
      <w:r>
        <w:rPr>
          <w:b w:val="0"/>
          <w:sz w:val="20"/>
        </w:rPr>
        <w:t>Call me with what your network needs beyond this. I would like to get this in front of them this week.</w:t>
      </w:r>
    </w:p>
    <w:p>
      <w:r>
        <w:rPr>
          <w:b w:val="0"/>
          <w:sz w:val="20"/>
        </w:rPr>
        <w:t>Thanks,</w:t>
      </w:r>
    </w:p>
    <w:p>
      <w:r>
        <w:rPr>
          <w:b w:val="0"/>
          <w:sz w:val="20"/>
        </w:rPr>
        <w:t>Geoff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