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SBA 7(a) Checklist - Item-by-Item Status</w:t>
      </w:r>
    </w:p>
    <w:p>
      <w:r>
        <w:rPr>
          <w:b/>
          <w:sz w:val="20"/>
        </w:rPr>
        <w:t>Borrower: Tyler Hospice Hold, LLC (dba Azalea Hospice &amp; Palliative Care) | EIN 41-4966640 | 7/16/2026</w:t>
      </w:r>
    </w:p>
    <w:p>
      <w:r>
        <w:rPr>
          <w:b w:val="0"/>
          <w:sz w:val="20"/>
        </w:rPr>
        <w:t>Request: $500,000 SBA 7(a) - retires the Refuge Hospice seller balance (Sept 2026) + ramp working capital. Equity injection $250,000 (33% of the $750,000 project): James Bullard $195,000 (first $100K wired 5/7/2026) + Geoff Schackmann $55,000.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Checklist 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ALL LOANS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CPA/attorney/insurance contacts, office street address/zip/phone, and personal SSNs still to be added by Geoff.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 of Proceeds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Reflects the Refuge structure above.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 documents incl. EIN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EIN 41-4966640. WY formation certificate + EIN letter to be attached; Amended &amp; Restated OA drafted, needs signatures.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approval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DISCUSSION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now a single $500K SBA loan - the prior $300K piggyback bank loan is gone (simpler placement).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CAIVRS/SAMS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LENDER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off Geoff's Form 912.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ALL INDIVIDUALS (Geoff only - sole 20%+ owner)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Financial Statement (SBA 413)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Pre-fill worksheet started; values + supporting statements needed. Joint with spouse (AZ community property).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tax returns - 3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2022, 2023, 2024 1040s are in Google Drive ('9 - Tax Returns'). 2025 in preparation. Geoff sends directly - verify ALL schedules, W-2s, 1099s are included.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cash flow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Pre-fill started in 07_personal_cash_flow/.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Resume / Personal History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management resumes drafted; Geoff to add personal fields + complete SBA 912.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Credit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 license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EXISTING BUSINESS / PURCHASE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interim financials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Hospice, LLC balance sheet + P&amp;L, month-end not older than 60 days. Request via Ann/sellers.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tax returns - 3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Hospice, LLC returns (2023, 2024, 2025) - company was certified 1/2024, so all applicable years.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debt 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item: the $375K seller note (terms per MIPA). Copy of the seller note/MIPA to accompany it.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Aged AR / 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is ready-to-bill with minimal operations - listing may legitimately be near-zero; get it in writing.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LOI / contract for 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MIPA Rev 1.00 (7/15/2026, redline in negotiation): $500K; $125K down ~8/1 (49%); $375K @ 6%, $31,250/mo from 9/1; ~$258,489.46 final 1/15/2027; prepayable without penalty.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STARTUPS / CHOW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plan (editable 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DRAFTED - UPDATE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 5.00 exists but is written around the prior Hickory target; Refuge addendum attached now, full rewrite to follow.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2-yr P&amp;L projections, Y1 monthly, written assumptions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 3.00 dynamic proforma (36 monthly periods, QA 20/20) + assumptions narrative. Officer salaries split out: Administrator $150K, DON $120K, Community Liaison $120K, Office Mgr $60K.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/ LOI for premises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Office lease or LOI, loan-term with options.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Sources of cash injection - 2 months statements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Bullard tranche 1 ($100K) wire confirmed 5/7/2026; need Bullard statements (30+ days pre-wire), remaining $95K wire, Geoff's $55K source statements.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Franchise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Affiliates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 hospice interest (VistaRiver) sold Aug 2025; passive note only. Affiliate/size-standard memo on file.</w:t>
            </w:r>
          </w:p>
        </w:tc>
      </w:tr>
    </w:tbl>
    <w:p>
      <w:pPr>
        <w:pStyle w:val="Heading1"/>
      </w:pPr>
      <w:r>
        <w:rPr>
          <w:color w:val="1F3B2D"/>
        </w:rPr>
        <w:t>COVID questionnaire - draft responses</w:t>
      </w:r>
    </w:p>
    <w:p>
      <w:r>
        <w:rPr>
          <w:b/>
          <w:sz w:val="20"/>
        </w:rPr>
        <w:t>1. Other stimulus loans (PPP/EIDL)?</w:t>
      </w:r>
    </w:p>
    <w:p>
      <w:r>
        <w:rPr>
          <w:b w:val="0"/>
          <w:sz w:val="20"/>
        </w:rPr>
        <w:t>No. Neither the applicant (formed 3/2026) nor any affiliate has PPP, EIDL, or other stimulus financing. To confirm for the sellers' entity (Refuge Hospice, LLC) as part of CHOW diligence.</w:t>
      </w:r>
    </w:p>
    <w:p>
      <w:r>
        <w:rPr>
          <w:b/>
          <w:sz w:val="20"/>
        </w:rPr>
        <w:t>2. Industry/business impact &amp; 18-month contingency</w:t>
      </w:r>
    </w:p>
    <w:p>
      <w:r>
        <w:rPr>
          <w:b w:val="0"/>
          <w:sz w:val="20"/>
        </w:rPr>
        <w:t>Hospice was an essential service throughout COVID and demand is demographic (aging population), not COVID-cyclical. The applicant is a startup; projections are built month-by-month on current CMS rates with a break-even analysis and a documented downside case (slower census ramp) supported by a working-capital reserve.</w:t>
      </w:r>
    </w:p>
    <w:p>
      <w:r>
        <w:rPr>
          <w:b/>
          <w:sz w:val="20"/>
        </w:rPr>
        <w:t>3. Restriction impacts (stay-home, travel, supply)</w:t>
      </w:r>
    </w:p>
    <w:p>
      <w:r>
        <w:rPr>
          <w:b w:val="0"/>
          <w:sz w:val="20"/>
        </w:rPr>
        <w:t>None currently. Hospice care is delivered in patients' residences and facilities; no material supply-chain exposure. PPE is a routine, budgeted operating cost.</w:t>
      </w:r>
    </w:p>
    <w:p>
      <w:r>
        <w:rPr>
          <w:b/>
          <w:sz w:val="20"/>
        </w:rPr>
        <w:t>4. Protective gear / safety costs</w:t>
      </w:r>
    </w:p>
    <w:p>
      <w:r>
        <w:rPr>
          <w:b w:val="0"/>
          <w:sz w:val="20"/>
        </w:rPr>
        <w:t>PPE and infection-control supplies are included in the per-patient supply budget (standard post-COVID hospice practice).</w:t>
      </w:r>
    </w:p>
    <w:p>
      <w:r>
        <w:rPr>
          <w:b/>
          <w:sz w:val="20"/>
        </w:rPr>
        <w:t>5. Reliability of historical financials</w:t>
      </w:r>
    </w:p>
    <w:p>
      <w:r>
        <w:rPr>
          <w:b w:val="0"/>
          <w:sz w:val="20"/>
        </w:rPr>
        <w:t>Startup - projections (not history) drive the credit case: monthly proforma with break-even analysis on current market conditions, CMS FY2026 rates, and conservative census assumptions.</w:t>
      </w:r>
    </w:p>
    <w:p>
      <w:r>
        <w:rPr>
          <w:b/>
          <w:sz w:val="20"/>
        </w:rPr>
        <w:t>6. Customer concentration</w:t>
      </w:r>
    </w:p>
    <w:p>
      <w:r>
        <w:rPr>
          <w:b w:val="0"/>
          <w:sz w:val="20"/>
        </w:rPr>
        <w:t>Payor mix is Medicare per-diem (with Medicaid room &amp; board) - i.e., federal payor concentration typical of every hospice; no single referral source exceeds a modest share of projected census.</w:t>
      </w:r>
    </w:p>
    <w:p>
      <w:r>
        <w:rPr>
          <w:b/>
          <w:sz w:val="20"/>
        </w:rPr>
        <w:t>7. Vendor concentration</w:t>
      </w:r>
    </w:p>
    <w:p>
      <w:r>
        <w:rPr>
          <w:b w:val="0"/>
          <w:sz w:val="20"/>
        </w:rPr>
        <w:t>Standard interchangeable vendors (pharmacy/PBM, DME, medical supplies) with competitive alternatives in the Tyler market.</w:t>
      </w:r>
    </w:p>
    <w:p>
      <w:r>
        <w:rPr>
          <w:b/>
          <w:sz w:val="20"/>
        </w:rPr>
        <w:t>8. Collateral adequacy vs market</w:t>
      </w:r>
    </w:p>
    <w:p>
      <w:r>
        <w:rPr>
          <w:b w:val="0"/>
          <w:sz w:val="20"/>
        </w:rPr>
        <w:t>Primary repayment is cash flow. The Medicare+Medicaid hospice license itself is a scarce, marketable asset in Texas (comparable licenses trade at $400-500K; CMS enrollment moratorium restricts new supply).</w:t>
      </w:r>
    </w:p>
    <w:p>
      <w:r>
        <w:rPr>
          <w:b/>
          <w:sz w:val="20"/>
        </w:rPr>
        <w:t>9. CHOW - industry experience / seller stimulus loans</w:t>
      </w:r>
    </w:p>
    <w:p>
      <w:r>
        <w:rPr>
          <w:b w:val="0"/>
          <w:sz w:val="20"/>
        </w:rPr>
        <w:t>Geoff Schackmann has 10+ years of hospice ownership experience (prior interest sold Aug 2025); the operating team (Administrator, DON, Community Liaison) is a proven East Texas hospice leadership group. Seller PPP/EIDL status to be confirmed in diligence.</w:t>
      </w:r>
    </w:p>
    <w:p>
      <w:r>
        <w:rPr>
          <w:b/>
          <w:sz w:val="20"/>
        </w:rPr>
        <w:t>10. Working capital &gt;=50% justification</w:t>
      </w:r>
    </w:p>
    <w:p>
      <w:r>
        <w:rPr>
          <w:b w:val="0"/>
          <w:sz w:val="20"/>
        </w:rPr>
        <w:t>Working capital is ~31% of the project ($235K of $750K), sized to cover ramp payroll ahead of the Medicare payment lag (NOE-to-cash ~30-60 days) per the monthly cash-flow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