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Purchase of existing business - Hickory Medicare license (CHOW)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Seller note (36 mo, 6%)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purchase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dual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$672,000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$1,050,000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$1,050,000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borrower equity injection (cash capital contribution)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($250,000)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seller financing (Hickory license note, non-SBA)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($300,000)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$500,000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price for the existing Medicare provider number is fully seller-financed, so no cash leaves at close for the acquisition and the working-capital reserve is preserved.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The SBA loan proceeds and the equity injection fund the $672,000 working-capital reserve plus $78,000 of startup costs and equipment. The reserve carries ramp-period payroll and combined debt service (SBA loan plus seller note) while accounts receivable normalize to the ~45-day Medicare cycle, and holds a $25,000 minimum cash floor with the $100,000 working-capital line undrawn in the base case.</w:t>
      </w:r>
    </w:p>
    <w:p>
      <w:r>
        <w:rPr>
          <w:b w:val="0"/>
          <w:i/>
          <w:sz w:val="19"/>
        </w:rPr>
        <w:t>Source of the borrower's equity injection: $250,000 in cash, provided as a capital contribution by minority member James Bullard (19.9% non-controlling interest) in exchange for his equity interest. This is a bona fide, non-borrowed equity injection equal to approximately 23.8% of total project cost - well above the 10% minimum required for a complete change of ownership under SOP 50 10 8. The injection is verified by Mr. Bullard's bank / brokerage statements and the capital-contribution wire into the company's account. Because Mr. Bullard is a passive investor holding less than 20% with no management or control rights and no side agreement, his contribution counts as qualifying equity without triggering a personal guaranty (consistent with SOP 50 10 8 and 13 CFR 120.160). The $300,000 Hickory seller note is not on standby and is therefore treated as acquisition debt within combined debt service, not as part of the equity injection.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that clears the 1.25x floor in every year and strengthens as census builds.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