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Credit Memo - Executive Summary</w:t>
      </w:r>
    </w:p>
    <w:p>
      <w:r>
        <w:rPr>
          <w:b w:val="0"/>
          <w:i w:val="0"/>
          <w:color w:val="606060"/>
          <w:sz w:val="18"/>
        </w:rPr>
        <w:t>SBA 7(a) Application - Tyler Hospice Hold LLC (dba Azalea Hospice &amp; Palliative Care)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The deal at a glance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Borrower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Tyler Hospice Hold LLC (Wyoming) - EIN 41-4966640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Operating subsidiary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Hickory Hospice LLC (Texas) - Medicare-certified hospice provider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Transaction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Complete change of ownership (CHOW) - purchase of 100% membership interests of Hickory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Loan request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$500,000 SBA 7(a)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Total project cost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$1,050,000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Use of proceeds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Working capital ($672K) + startup ($63K) + equipment ($15K); seller-financed acquisition ($300K)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Borrower equity injection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$250,000 cash (23.8% of project) - 2.4x the 10% SOP 50 10 8 floor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Primary guarantor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Geoff Schackmann (sole 20%+ owner via Adeline &amp; Lilah, LLC; 39.9%)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Year-1 combined DSCR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1.56x | Y2 3.50x | Y3 5.20x | Global 3.42x (floor 1.25x)</w:t>
            </w:r>
          </w:p>
        </w:tc>
      </w:tr>
    </w:tbl>
    <w:p>
      <w:r>
        <w:rPr>
          <w:b/>
          <w:color w:val="1F3864"/>
          <w:sz w:val="23"/>
        </w:rPr>
        <w:t>Why this credit is strong</w:t>
      </w:r>
    </w:p>
    <w:p>
      <w:r>
        <w:rPr>
          <w:b w:val="0"/>
          <w:i w:val="0"/>
          <w:sz w:val="21"/>
        </w:rPr>
        <w:t>1. Established, billing-ready agency. The transaction is the purchase of an operating Medicare-certified hospice with a transferring provider number, state license, and CHAP/ACHC accreditation - no payor-enrollment ramp risk and no startup CHAP/ACHC cycle. The agency is billing-capable on day one.</w:t>
      </w:r>
    </w:p>
    <w:p>
      <w:r>
        <w:rPr>
          <w:b w:val="0"/>
          <w:i w:val="0"/>
          <w:sz w:val="21"/>
        </w:rPr>
        <w:t>2. Experienced multi-hospice operator. The Managing Member has operated Medicare-certified hospice agencies across multiple states with documented census growth from sub-30 to 100+ ADC under existing provider numbers, plus prior CHOW transactions with successful post-close enrollment and integration.</w:t>
      </w:r>
    </w:p>
    <w:p>
      <w:r>
        <w:rPr>
          <w:b w:val="0"/>
          <w:i w:val="0"/>
          <w:sz w:val="21"/>
        </w:rPr>
        <w:t>3. Validated East-Texas BD pipeline. The Director of Sales sustained a 40+ ADC referral book in the Tyler market for 4.5 years and previously grew Tyler-market and Lufkin / Nacogdoches agencies from single-digit ADC to 70-220 patients. Opening census of ~22 ADC is conservatively underwritten against this pipeline.</w:t>
      </w:r>
    </w:p>
    <w:p>
      <w:r>
        <w:rPr>
          <w:b w:val="0"/>
          <w:i w:val="0"/>
          <w:sz w:val="21"/>
        </w:rPr>
        <w:t>4. Conservative staffing build. Year-1 P&amp;L carries a fully staffed clinical roster sized to the underwritten census (RN case managers, CNAs, social work, chaplain, IDG, Quality/Compliance, Intake, Volunteer Coordinator) plus outsourced billing at 1.5% of revenue - not a thin headcount story.</w:t>
      </w:r>
    </w:p>
    <w:p>
      <w:r>
        <w:rPr>
          <w:b w:val="0"/>
          <w:i w:val="0"/>
          <w:sz w:val="21"/>
        </w:rPr>
        <w:t>5. Coverage and headroom. Year-1 combined DSCR of 1.56x clears the SBA floor with cushion; coverage springs further after Year 3 when the $300K seller note retires. Break-even is ~16 ADC vs. opening 22 ADC, so the deal is profitable on the validated opening census alone.</w:t>
      </w:r>
    </w:p>
    <w:p>
      <w:r>
        <w:rPr>
          <w:b/>
          <w:color w:val="1F3864"/>
          <w:sz w:val="23"/>
        </w:rPr>
        <w:t>Equity injection - SOP 50 10 8 compliant</w:t>
      </w:r>
    </w:p>
    <w:p>
      <w:r>
        <w:rPr>
          <w:b w:val="0"/>
          <w:i w:val="0"/>
          <w:sz w:val="21"/>
        </w:rPr>
        <w:t>$250,000 cash (23.8% of project) contributed by James Bullard as a capital contribution for a direct, fully funded 19.9% passive minority interest. Under 20%, no PFS or guaranty required; the lender verifies only the source of funds per the SOP. Tranche 1 of $100,000 was wired May 7, 2026 into the borrower's Mercury (Column N.A.) account ****1275 and remains on deposit. Tranches 2 and 3 ($150,000 total) are scheduled for June and July 2026. The $300,000 Hickory seller note (36 mo, 6%, amortizing) is acquisition debt within combined DSCR - not on standby, not equity. Detailed compliance write-up in Equity_Injection_and_SBA_Structure_MEMO.</w:t>
      </w:r>
    </w:p>
    <w:p>
      <w:r>
        <w:rPr>
          <w:b/>
          <w:color w:val="1F3864"/>
          <w:sz w:val="23"/>
        </w:rPr>
        <w:t>Risks and mitigants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9"/>
              </w:rPr>
              <w:t>Mitigant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Census ramp slower than plan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Break-even ~16 ADC; opening census ~22; BD pipeline validated; sensitivity (separate memo) shows DSCR holds through -20% Y1 revenue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Medicare CoP / survey risk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Existing CHAP/ACHC accreditation transfers; DON-led IDG; QAPI program; experienced clinical leadership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Key-person dependency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Four-person leadership team (Managing Member, ED, DON, BD Director); 25+ year East-Texas BD relationships are institutional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Equity injection phased (not all in at signing)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Tranche 1 in account; tranches 2-3 committed; lender can sequence SBA disbursement after final tranche or use a holdback</w:t>
            </w:r>
          </w:p>
        </w:tc>
      </w:tr>
    </w:tbl>
    <w:p>
      <w:r>
        <w:rPr>
          <w:b/>
          <w:color w:val="1F3864"/>
          <w:sz w:val="23"/>
        </w:rPr>
        <w:t>Closing conditions to verify</w:t>
      </w:r>
    </w:p>
    <w:p>
      <w:r>
        <w:rPr>
          <w:b w:val="0"/>
          <w:i w:val="0"/>
          <w:sz w:val="21"/>
        </w:rPr>
        <w:t xml:space="preserve">  - Bullard source-of-funds statements for each tranche (30+ day seasoning, in his name)</w:t>
      </w:r>
    </w:p>
    <w:p>
      <w:r>
        <w:rPr>
          <w:b w:val="0"/>
          <w:i w:val="0"/>
          <w:sz w:val="21"/>
        </w:rPr>
        <w:t xml:space="preserve">  - Receipt and on-deposit evidence for tranches 2 and 3; final $250K balance confirmation pre-disbursement</w:t>
      </w:r>
    </w:p>
    <w:p>
      <w:r>
        <w:rPr>
          <w:b w:val="0"/>
          <w:i w:val="0"/>
          <w:sz w:val="21"/>
        </w:rPr>
        <w:t xml:space="preserve">  - Executed Hickory CHOW purchase agreement and seller note ($300K, 36 mo, 6%) with security documents</w:t>
      </w:r>
    </w:p>
    <w:p>
      <w:r>
        <w:rPr>
          <w:b w:val="0"/>
          <w:i w:val="0"/>
          <w:sz w:val="21"/>
        </w:rPr>
        <w:t xml:space="preserve">  - Office lease / LOI with term matching the SBA loan term and reasonable options</w:t>
      </w:r>
    </w:p>
    <w:p>
      <w:r>
        <w:rPr>
          <w:b w:val="0"/>
          <w:i w:val="0"/>
          <w:sz w:val="21"/>
        </w:rPr>
        <w:t xml:space="preserve">  - Geoff Schackmann personal package: PFS (413), cash flow (7a), history form (912), 3 yrs tax returns, credit, license</w:t>
      </w:r>
    </w:p>
    <w:p>
      <w:r>
        <w:rPr>
          <w:b w:val="0"/>
          <w:i w:val="0"/>
          <w:sz w:val="21"/>
        </w:rPr>
        <w:t xml:space="preserve">  - Refreshed Business Plan financial sections to match the operating model (Rev 5.00)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