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COMMERCIAL LEASE AGREEMENT</w:t>
      </w:r>
    </w:p>
    <w:p>
      <w:pPr>
        <w:jc w:val="center"/>
      </w:pPr>
      <w:r>
        <w:rPr>
          <w:color w:val="606060"/>
          <w:sz w:val="18"/>
        </w:rPr>
        <w:t>State of Texas  •  Smith County</w:t>
      </w:r>
    </w:p>
    <w:p>
      <w:r>
        <w:rPr>
          <w:i/>
          <w:color w:val="606060"/>
          <w:sz w:val="17"/>
        </w:rPr>
        <w:t>DRAFT for review and execution by the parties and their counsel. Remaining underlined items must be completed. This template is not legal advice; have Texas counsel review before signing.</w:t>
      </w:r>
    </w:p>
    <w:p>
      <w:r>
        <w:rPr>
          <w:b w:val="0"/>
          <w:i w:val="0"/>
          <w:sz w:val="21"/>
        </w:rPr>
      </w:r>
    </w:p>
    <w:p>
      <w:r>
        <w:rPr>
          <w:b w:val="0"/>
          <w:i w:val="0"/>
          <w:sz w:val="21"/>
        </w:rPr>
        <w:t>This Commercial Lease Agreement (this “Lease”) is entered into and effective as of June 1, 2026 (the “Effective Date”), by and between:</w:t>
      </w:r>
    </w:p>
    <w:p>
      <w:r>
        <w:rPr>
          <w:b/>
          <w:i w:val="0"/>
          <w:sz w:val="21"/>
        </w:rPr>
        <w:t>LANDLORD:  Burns Commercial Properties (“Landlord”), whose address is ________________; and</w:t>
      </w:r>
    </w:p>
    <w:p>
      <w:r>
        <w:rPr>
          <w:b/>
          <w:i w:val="0"/>
          <w:sz w:val="21"/>
        </w:rPr>
        <w:t>TENANT:  Hickory Hospice, LLC, a Texas limited liability company (d/b/a Azalea Hospice &amp; Palliative Care) (“Tenant”), whose notice address is the Premises.</w:t>
      </w:r>
    </w:p>
    <w:p>
      <w:r>
        <w:rPr>
          <w:b w:val="0"/>
          <w:i w:val="0"/>
          <w:sz w:val="21"/>
        </w:rPr>
        <w:t>Landlord and Tenant are each a “Party” and together the “Parties.”</w:t>
      </w:r>
    </w:p>
    <w:p>
      <w:r>
        <w:rPr>
          <w:b/>
          <w:color w:val="1F3864"/>
          <w:sz w:val="22"/>
        </w:rPr>
        <w:t>1. Basic Lease Terms (summary)</w:t>
      </w:r>
    </w:p>
    <w:tbl>
      <w:tblPr>
        <w:tblStyle w:val="LightGrid-Accent1"/>
        <w:tblW w:type="auto" w:w="0"/>
        <w:tblLook w:firstColumn="1" w:firstRow="1" w:lastColumn="0" w:lastRow="0" w:noHBand="0" w:noVBand="1" w:val="04A0"/>
      </w:tblPr>
      <w:tblGrid>
        <w:gridCol w:w="4320"/>
        <w:gridCol w:w="4320"/>
      </w:tblGrid>
      <w:tr>
        <w:tc>
          <w:tcPr>
            <w:tcW w:type="dxa" w:w="2736"/>
          </w:tcPr>
          <w:p>
            <w:r/>
            <w:r>
              <w:rPr>
                <w:b/>
                <w:sz w:val="19"/>
              </w:rPr>
              <w:t>Premises</w:t>
            </w:r>
          </w:p>
        </w:tc>
        <w:tc>
          <w:tcPr>
            <w:tcW w:type="dxa" w:w="6912"/>
          </w:tcPr>
          <w:p>
            <w:r/>
            <w:r>
              <w:rPr>
                <w:sz w:val="19"/>
              </w:rPr>
              <w:t>13387 US Highway 69 North, Tyler, Texas 75706, United States, consisting of approximately 1,607 rentable square feet, together with the right to use the common areas and parking.</w:t>
            </w:r>
          </w:p>
        </w:tc>
      </w:tr>
      <w:tr>
        <w:tc>
          <w:tcPr>
            <w:tcW w:type="dxa" w:w="2736"/>
          </w:tcPr>
          <w:p>
            <w:r/>
            <w:r>
              <w:rPr>
                <w:b/>
                <w:sz w:val="19"/>
              </w:rPr>
              <w:t>Permitted Use</w:t>
            </w:r>
          </w:p>
        </w:tc>
        <w:tc>
          <w:tcPr>
            <w:tcW w:type="dxa" w:w="6912"/>
          </w:tcPr>
          <w:p>
            <w:r/>
            <w:r>
              <w:rPr>
                <w:sz w:val="19"/>
              </w:rPr>
              <w:t>Administrative and clinical offices of a Medicare-certified hospice and palliative care agency, and lawful uses incidental thereto.</w:t>
            </w:r>
          </w:p>
        </w:tc>
      </w:tr>
      <w:tr>
        <w:tc>
          <w:tcPr>
            <w:tcW w:type="dxa" w:w="2736"/>
          </w:tcPr>
          <w:p>
            <w:r/>
            <w:r>
              <w:rPr>
                <w:b/>
                <w:sz w:val="19"/>
              </w:rPr>
              <w:t>Initial Term</w:t>
            </w:r>
          </w:p>
        </w:tc>
        <w:tc>
          <w:tcPr>
            <w:tcW w:type="dxa" w:w="6912"/>
          </w:tcPr>
          <w:p>
            <w:r/>
            <w:r>
              <w:rPr>
                <w:sz w:val="19"/>
              </w:rPr>
              <w:t>Two (2) years, commencing June 1, 2026 (the “Commencement Date”) and ending May 31, 2028, unless sooner terminated under this Lease.</w:t>
            </w:r>
          </w:p>
        </w:tc>
      </w:tr>
      <w:tr>
        <w:tc>
          <w:tcPr>
            <w:tcW w:type="dxa" w:w="2736"/>
          </w:tcPr>
          <w:p>
            <w:r/>
            <w:r>
              <w:rPr>
                <w:b/>
                <w:sz w:val="19"/>
              </w:rPr>
              <w:t>Renewal Options</w:t>
            </w:r>
          </w:p>
        </w:tc>
        <w:tc>
          <w:tcPr>
            <w:tcW w:type="dxa" w:w="6912"/>
          </w:tcPr>
          <w:p>
            <w:r/>
            <w:r>
              <w:rPr>
                <w:sz w:val="19"/>
              </w:rPr>
              <w:t>Tenant shall have ________________ option(s) to renew for additional periods of ________________ year(s) each on the same terms (Base Rent fixed unless the Parties agree otherwise in writing), exercisable by written notice at least ninety (90) days before expiration. [See SBA note below.]</w:t>
            </w:r>
          </w:p>
        </w:tc>
      </w:tr>
      <w:tr>
        <w:tc>
          <w:tcPr>
            <w:tcW w:type="dxa" w:w="2736"/>
          </w:tcPr>
          <w:p>
            <w:r/>
            <w:r>
              <w:rPr>
                <w:b/>
                <w:sz w:val="19"/>
              </w:rPr>
              <w:t>Base Rent</w:t>
            </w:r>
          </w:p>
        </w:tc>
        <w:tc>
          <w:tcPr>
            <w:tcW w:type="dxa" w:w="6912"/>
          </w:tcPr>
          <w:p>
            <w:r/>
            <w:r>
              <w:rPr>
                <w:sz w:val="19"/>
              </w:rPr>
              <w:t>$2,100.00 per month ($25,200.00 per year), fixed for the Term; due in advance on the first day of each month.</w:t>
            </w:r>
          </w:p>
        </w:tc>
      </w:tr>
      <w:tr>
        <w:tc>
          <w:tcPr>
            <w:tcW w:type="dxa" w:w="2736"/>
          </w:tcPr>
          <w:p>
            <w:r/>
            <w:r>
              <w:rPr>
                <w:b/>
                <w:sz w:val="19"/>
              </w:rPr>
              <w:t>Security Deposit</w:t>
            </w:r>
          </w:p>
        </w:tc>
        <w:tc>
          <w:tcPr>
            <w:tcW w:type="dxa" w:w="6912"/>
          </w:tcPr>
          <w:p>
            <w:r/>
            <w:r>
              <w:rPr>
                <w:sz w:val="19"/>
              </w:rPr>
              <w:t>$2,100.00 (one month’s Base Rent), due at signing.</w:t>
            </w:r>
          </w:p>
        </w:tc>
      </w:tr>
      <w:tr>
        <w:tc>
          <w:tcPr>
            <w:tcW w:type="dxa" w:w="2736"/>
          </w:tcPr>
          <w:p>
            <w:r/>
            <w:r>
              <w:rPr>
                <w:b/>
                <w:sz w:val="19"/>
              </w:rPr>
              <w:t>Lease Type</w:t>
            </w:r>
          </w:p>
        </w:tc>
        <w:tc>
          <w:tcPr>
            <w:tcW w:type="dxa" w:w="6912"/>
          </w:tcPr>
          <w:p>
            <w:r/>
            <w:r>
              <w:rPr>
                <w:sz w:val="19"/>
              </w:rPr>
              <w:t>Modified gross: Tenant pays its own utilities and interior upkeep; Landlord maintains the structure, roof, and common areas (see Sections 7–8).</w:t>
            </w:r>
          </w:p>
        </w:tc>
      </w:tr>
    </w:tbl>
    <w:p>
      <w:r>
        <w:rPr>
          <w:i/>
          <w:color w:val="606060"/>
          <w:sz w:val="17"/>
        </w:rPr>
        <w:t>SBA note on term: the SBA 7(a) lender generally requires the lease term, including renewal options, to meet or exceed the loan term (~10 years). A two-year initial term satisfies this only if enough renewal options are added to reach that length — fill in the option count/length above, or confirm a longer term with Landlord, before submitting to the lender.</w:t>
      </w:r>
    </w:p>
    <w:p>
      <w:r>
        <w:rPr>
          <w:b/>
          <w:color w:val="1F3864"/>
          <w:sz w:val="22"/>
        </w:rPr>
        <w:t>2. Premises</w:t>
      </w:r>
    </w:p>
    <w:p>
      <w:r>
        <w:rPr>
          <w:b w:val="0"/>
          <w:i w:val="0"/>
          <w:sz w:val="21"/>
        </w:rPr>
        <w:t>Landlord leases to Tenant, and Tenant leases from Landlord, the Premises described above (approximately 1,607 rentable square feet), together with the non-exclusive right to use the parking and common areas serving the building. Tenant accepts the Premises in “AS-IS” condition except for any landlord work listed on Exhibit A (________________).</w:t>
      </w:r>
    </w:p>
    <w:p>
      <w:r>
        <w:rPr>
          <w:b/>
          <w:color w:val="1F3864"/>
          <w:sz w:val="22"/>
        </w:rPr>
        <w:t>3. Term; Possession</w:t>
      </w:r>
    </w:p>
    <w:p>
      <w:r>
        <w:rPr>
          <w:b w:val="0"/>
          <w:i w:val="0"/>
          <w:sz w:val="21"/>
        </w:rPr>
        <w:t>The Initial Term (June 1, 2026 – May 31, 2028) and any exercised Renewal Term are the “Term.” If Landlord cannot deliver possession by the Commencement Date, Rent abates until delivery, and that is Tenant’s sole remedy for delay.</w:t>
      </w:r>
    </w:p>
    <w:p>
      <w:r>
        <w:rPr>
          <w:b/>
          <w:color w:val="1F3864"/>
          <w:sz w:val="22"/>
        </w:rPr>
        <w:t>4. Base Rent; Late Charges</w:t>
      </w:r>
    </w:p>
    <w:p>
      <w:r>
        <w:rPr>
          <w:b w:val="0"/>
          <w:i w:val="0"/>
          <w:sz w:val="21"/>
        </w:rPr>
        <w:t>Tenant shall pay Base Rent of $2,100.00 per month, fixed for the Term, in advance, on or before the first day of each calendar month, without demand, deduction, or offset, at Landlord’s address or as Landlord directs. Rent for any partial month is prorated. Any payment more than five (5) days late incurs a late charge of five percent (5%) of the overdue amount, plus interest at the lesser of eighteen percent (18%) per annum or the maximum lawful rate.</w:t>
      </w:r>
    </w:p>
    <w:p>
      <w:r>
        <w:rPr>
          <w:b/>
          <w:color w:val="1F3864"/>
          <w:sz w:val="22"/>
        </w:rPr>
        <w:t>5. Security Deposit</w:t>
      </w:r>
    </w:p>
    <w:p>
      <w:r>
        <w:rPr>
          <w:b w:val="0"/>
          <w:i w:val="0"/>
          <w:sz w:val="21"/>
        </w:rPr>
        <w:t>At signing, Tenant shall deposit $2,100.00 as security for performance. Landlord may apply it to cure defaults or repair damage beyond normal wear; Tenant shall replenish any amount so applied within ten (10) days of notice. Landlord returns the balance, less lawful deductions, within thirty (30) days after the Term ends and Tenant surrenders the Premises.</w:t>
      </w:r>
    </w:p>
    <w:p>
      <w:r>
        <w:rPr>
          <w:b/>
          <w:color w:val="1F3864"/>
          <w:sz w:val="22"/>
        </w:rPr>
        <w:t>6. Use; Compliance with Law; Healthcare Regulation</w:t>
      </w:r>
    </w:p>
    <w:p>
      <w:r>
        <w:rPr>
          <w:b w:val="0"/>
          <w:i w:val="0"/>
          <w:sz w:val="21"/>
        </w:rPr>
        <w:t>Tenant shall use the Premises only for the Permitted Use and shall comply, at its expense, with all applicable laws, including the Americans with Disabilities Act, HIPAA, Texas Health and Human Services Commission licensure requirements, and Medicare Conditions of Participation. Tenant shall not create a nuisance, commit waste, or use the Premises unlawfully.</w:t>
      </w:r>
    </w:p>
    <w:p>
      <w:r>
        <w:rPr>
          <w:b/>
          <w:color w:val="1F3864"/>
          <w:sz w:val="22"/>
        </w:rPr>
        <w:t>7. Utilities and Services</w:t>
      </w:r>
    </w:p>
    <w:p>
      <w:r>
        <w:rPr>
          <w:b w:val="0"/>
          <w:i w:val="0"/>
          <w:sz w:val="21"/>
        </w:rPr>
        <w:t>Tenant shall pay for all utilities and services separately metered or used at the Premises (electricity, gas, water, telecommunications, internet, janitorial, and refuse). Landlord is not liable for interruptions beyond its reasonable control.</w:t>
      </w:r>
    </w:p>
    <w:p>
      <w:r>
        <w:rPr>
          <w:b/>
          <w:color w:val="1F3864"/>
          <w:sz w:val="22"/>
        </w:rPr>
        <w:t>8. Maintenance and Repairs</w:t>
      </w:r>
    </w:p>
    <w:p>
      <w:r>
        <w:rPr>
          <w:b w:val="0"/>
          <w:i w:val="0"/>
          <w:sz w:val="21"/>
        </w:rPr>
        <w:t>Landlord shall maintain the foundation, exterior walls, roof, structural components, and common areas in good repair. Tenant shall, at its expense, keep the interior of the Premises (including fixtures, finishes, and any HVAC exclusively serving the Premises) in good repair, and surrender the Premises in good condition, ordinary wear and tear and casualty excepted.</w:t>
      </w:r>
    </w:p>
    <w:p>
      <w:r>
        <w:rPr>
          <w:b/>
          <w:color w:val="1F3864"/>
          <w:sz w:val="22"/>
        </w:rPr>
        <w:t>9. Alterations</w:t>
      </w:r>
    </w:p>
    <w:p>
      <w:r>
        <w:rPr>
          <w:b w:val="0"/>
          <w:i w:val="0"/>
          <w:sz w:val="21"/>
        </w:rPr>
        <w:t>Tenant shall not make structural alterations without Landlord’s prior written consent (not unreasonably withheld). Non-structural, cosmetic improvements may be made without consent. Permitted alterations become Landlord’s property at the end of the Term unless agreed otherwise in writing; Tenant’s trade fixtures and equipment remain Tenant’s property.</w:t>
      </w:r>
    </w:p>
    <w:p>
      <w:r>
        <w:rPr>
          <w:b/>
          <w:color w:val="1F3864"/>
          <w:sz w:val="22"/>
        </w:rPr>
        <w:t>10. Insurance; Waiver of Subrogation</w:t>
      </w:r>
    </w:p>
    <w:p>
      <w:r>
        <w:rPr>
          <w:b w:val="0"/>
          <w:i w:val="0"/>
          <w:sz w:val="21"/>
        </w:rPr>
        <w:t>Tenant shall maintain (a) commercial general liability insurance of not less than $1,000,000 per occurrence / $2,000,000 aggregate, naming Landlord (and Landlord’s lender, if any) as additional insured; and (b) property insurance on Tenant’s personal property and improvements. Landlord shall maintain property insurance on the building. Each Party waives subrogation against the other to the extent of insurance proceeds. Tenant shall provide certificates of insurance on request.</w:t>
      </w:r>
    </w:p>
    <w:p>
      <w:r>
        <w:rPr>
          <w:b/>
          <w:color w:val="1F3864"/>
          <w:sz w:val="22"/>
        </w:rPr>
        <w:t>11. Indemnification</w:t>
      </w:r>
    </w:p>
    <w:p>
      <w:r>
        <w:rPr>
          <w:b w:val="0"/>
          <w:i w:val="0"/>
          <w:sz w:val="21"/>
        </w:rPr>
        <w:t>To the extent permitted by law, Tenant shall indemnify and hold Landlord harmless from claims arising out of Tenant’s use of the Premises or its negligence or willful misconduct, except to the extent caused by Landlord. Landlord shall similarly indemnify Tenant for claims arising from Landlord’s negligence or willful misconduct in the common areas.</w:t>
      </w:r>
    </w:p>
    <w:p>
      <w:r>
        <w:rPr>
          <w:b/>
          <w:color w:val="1F3864"/>
          <w:sz w:val="22"/>
        </w:rPr>
        <w:t>12. Assignment and Subletting; SBA Collateral Assignment</w:t>
      </w:r>
    </w:p>
    <w:p>
      <w:r>
        <w:rPr>
          <w:b w:val="0"/>
          <w:i w:val="0"/>
          <w:sz w:val="21"/>
        </w:rPr>
        <w:t>Tenant shall not assign this Lease or sublet the Premises without Landlord’s prior written consent, not unreasonably withheld. Landlord acknowledges that Tenant’s business is financed in part by a U.S. Small Business Administration (SBA) 7(a) loan, and agrees, upon request and at no cost to Landlord, to execute a commercially reasonable Landlord’s Waiver / Subordination and a Consent to Collateral Assignment of this Lease in favor of Tenant’s SBA lender, and to provide the lender notice and a reasonable opportunity to cure any Tenant default before termination.</w:t>
      </w:r>
    </w:p>
    <w:p>
      <w:r>
        <w:rPr>
          <w:b/>
          <w:color w:val="1F3864"/>
          <w:sz w:val="22"/>
        </w:rPr>
        <w:t>13. Default; Remedies</w:t>
      </w:r>
    </w:p>
    <w:p>
      <w:r>
        <w:rPr>
          <w:b w:val="0"/>
          <w:i w:val="0"/>
          <w:sz w:val="21"/>
        </w:rPr>
        <w:t>Tenant is in default if it (a) fails to pay Rent within five (5) days after written notice, or (b) fails to perform any other obligation within twenty (20) days after written notice (or such longer period as is reasonably needed if Tenant promptly begins and diligently pursues cure). On default, Landlord may pursue all remedies at law or equity, subject to Landlord’s duty to mitigate as required by Texas law. The SBA lender’s cure rights in Section 12 survive.</w:t>
      </w:r>
    </w:p>
    <w:p>
      <w:r>
        <w:rPr>
          <w:b/>
          <w:color w:val="1F3864"/>
          <w:sz w:val="22"/>
        </w:rPr>
        <w:t>14. Casualty; Condemnation</w:t>
      </w:r>
    </w:p>
    <w:p>
      <w:r>
        <w:rPr>
          <w:b w:val="0"/>
          <w:i w:val="0"/>
          <w:sz w:val="21"/>
        </w:rPr>
        <w:t>If the Premises are materially damaged by casualty, Landlord shall either restore them within a reasonable time (with Rent abating proportionally) or, if restoration is not feasible, terminate this Lease. If the Premises are taken by eminent domain such that they are unsuitable for the Permitted Use, this Lease terminates as of the taking, and each Party may pursue its separate award.</w:t>
      </w:r>
    </w:p>
    <w:p>
      <w:r>
        <w:rPr>
          <w:b/>
          <w:color w:val="1F3864"/>
          <w:sz w:val="22"/>
        </w:rPr>
        <w:t>15. Holding Over</w:t>
      </w:r>
    </w:p>
    <w:p>
      <w:r>
        <w:rPr>
          <w:b w:val="0"/>
          <w:i w:val="0"/>
          <w:sz w:val="21"/>
        </w:rPr>
        <w:t>If Tenant remains in possession after the Term without a new agreement, the tenancy is month-to-month at one hundred twenty-five percent (125%) of the last Base Rent, terminable by either Party on thirty (30) days’ written notice, on all other terms of this Lease.</w:t>
      </w:r>
    </w:p>
    <w:p>
      <w:r>
        <w:rPr>
          <w:b/>
          <w:color w:val="1F3864"/>
          <w:sz w:val="22"/>
        </w:rPr>
        <w:t>16. Subordination; Estoppel; Quiet Enjoyment</w:t>
      </w:r>
    </w:p>
    <w:p>
      <w:r>
        <w:rPr>
          <w:b w:val="0"/>
          <w:i w:val="0"/>
          <w:sz w:val="21"/>
        </w:rPr>
        <w:t>This Lease is subordinate to any current or future mortgage on the building, provided the lender grants Tenant non-disturbance. Each Party shall deliver an estoppel certificate within ten (10) days of request. So long as Tenant is not in default, Tenant shall have quiet enjoyment of the Premises.</w:t>
      </w:r>
    </w:p>
    <w:p>
      <w:r>
        <w:rPr>
          <w:b/>
          <w:color w:val="1F3864"/>
          <w:sz w:val="22"/>
        </w:rPr>
        <w:t>17. Notices</w:t>
      </w:r>
    </w:p>
    <w:p>
      <w:r>
        <w:rPr>
          <w:b w:val="0"/>
          <w:i w:val="0"/>
          <w:sz w:val="21"/>
        </w:rPr>
        <w:t>Notices must be in writing and delivered personally, by certified mail (return receipt), or by recognized overnight courier to: Landlord, Burns Commercial Properties, at ________________; and Tenant at 13387 US Highway 69 North, Tyler, Texas 75706, Attn: Manager.</w:t>
      </w:r>
    </w:p>
    <w:p>
      <w:r>
        <w:rPr>
          <w:b/>
          <w:color w:val="1F3864"/>
          <w:sz w:val="22"/>
        </w:rPr>
        <w:t>18. Miscellaneous</w:t>
      </w:r>
    </w:p>
    <w:p>
      <w:r>
        <w:rPr>
          <w:b w:val="0"/>
          <w:i w:val="0"/>
          <w:sz w:val="21"/>
        </w:rPr>
        <w:t>This Lease is governed by Texas law and contains the entire agreement of the Parties, superseding prior negotiations. It may be amended only in a writing signed by both Parties. If any provision is unenforceable, the remainder stays in effect. This Lease binds the Parties’ permitted successors and assigns and may be signed in counterparts, including electronic signatures.</w:t>
      </w:r>
    </w:p>
    <w:p>
      <w:r>
        <w:rPr>
          <w:b/>
          <w:color w:val="1F3864"/>
          <w:sz w:val="22"/>
        </w:rPr>
        <w:t>19. Related-Party Disclosure</w:t>
      </w:r>
    </w:p>
    <w:p>
      <w:r>
        <w:rPr>
          <w:b w:val="0"/>
          <w:i w:val="0"/>
          <w:sz w:val="21"/>
        </w:rPr>
        <w:t>Landlord (Burns Commercial Properties) is an independent, third-party lessor and is NOT an affiliate of Tenant or Tenant’s owners; this is an arm’s-length lease at market rent. [Confirm and initial.]</w:t>
      </w:r>
    </w:p>
    <w:p/>
    <w:p>
      <w:r>
        <w:rPr>
          <w:b/>
          <w:i w:val="0"/>
          <w:sz w:val="21"/>
        </w:rPr>
        <w:t>IN WITNESS WHEREOF, the Parties execute this Lease as of the Effective Date.</w:t>
      </w:r>
    </w:p>
    <w:p/>
    <w:p>
      <w:r>
        <w:rPr>
          <w:b/>
          <w:i w:val="0"/>
          <w:sz w:val="21"/>
        </w:rPr>
        <w:t>LANDLORD  —  Burns Commercial Properties</w:t>
      </w:r>
    </w:p>
    <w:p>
      <w:r>
        <w:rPr>
          <w:b w:val="0"/>
          <w:i w:val="0"/>
          <w:sz w:val="20"/>
        </w:rPr>
        <w:t xml:space="preserve">   By: ____________________________   Date: __________</w:t>
      </w:r>
    </w:p>
    <w:p>
      <w:r>
        <w:rPr>
          <w:b w:val="0"/>
          <w:i w:val="0"/>
          <w:sz w:val="20"/>
        </w:rPr>
        <w:t xml:space="preserve">   Name: ________________</w:t>
      </w:r>
    </w:p>
    <w:p>
      <w:r>
        <w:rPr>
          <w:b w:val="0"/>
          <w:i w:val="0"/>
          <w:sz w:val="20"/>
        </w:rPr>
        <w:t xml:space="preserve">   Title: ________________</w:t>
      </w:r>
    </w:p>
    <w:p/>
    <w:p>
      <w:r>
        <w:rPr>
          <w:b/>
          <w:i w:val="0"/>
          <w:sz w:val="21"/>
        </w:rPr>
        <w:t>TENANT  —  Hickory Hospice, LLC (d/b/a Azalea Hospice &amp; Palliative Care)</w:t>
      </w:r>
    </w:p>
    <w:p>
      <w:r>
        <w:rPr>
          <w:b w:val="0"/>
          <w:i w:val="0"/>
          <w:sz w:val="20"/>
        </w:rPr>
        <w:t xml:space="preserve">   By: ____________________________   Date: __________</w:t>
      </w:r>
    </w:p>
    <w:p>
      <w:r>
        <w:rPr>
          <w:b w:val="0"/>
          <w:i w:val="0"/>
          <w:sz w:val="20"/>
        </w:rPr>
        <w:t xml:space="preserve">   Name: Geoff Schackmann</w:t>
      </w:r>
    </w:p>
    <w:p>
      <w:r>
        <w:rPr>
          <w:b w:val="0"/>
          <w:i w:val="0"/>
          <w:sz w:val="20"/>
        </w:rPr>
        <w:t xml:space="preserve">   Title: Manager</w:t>
      </w:r>
    </w:p>
    <w:p>
      <w:r>
        <w:rPr>
          <w:b w:val="0"/>
          <w:i w:val="0"/>
          <w:sz w:val="20"/>
        </w:rPr>
        <w:t xml:space="preserve">   EIN: 86-2886807</w:t>
      </w:r>
    </w:p>
    <w:p/>
    <w:p>
      <w:r>
        <w:rPr>
          <w:i/>
          <w:color w:val="606060"/>
          <w:sz w:val="17"/>
        </w:rPr>
        <w:t>Remaining fill-ins: Landlord mailing address; Landlord signatory name/title; number and length of renewal options (for the SBA term requirement). Signing-authority note: the Tenant signs as Hickory Hospice, LLC by its Manager. Because the Hickory change-of-ownership is scheduled to close after the June 1, 2026 commencement, confirm who holds Manager authority on the signing date — pre-closing, the current Hickory manager signs (or Tyler Hospice Hold LLC signs/guarantees the lease); post-closing, Geoff Schackmann signs. Align the signature with the actual closing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