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Equity Injection &amp; Capital Structure - SOP 50 10 8 Compliance</w:t>
      </w:r>
    </w:p>
    <w:p>
      <w:r>
        <w:rPr>
          <w:b w:val="0"/>
          <w:i w:val="0"/>
          <w:color w:val="606060"/>
          <w:sz w:val="18"/>
        </w:rPr>
        <w:t>SBA 7(a) Application - Tyler Hospice Hold LLC (dba Azalea Hospice &amp; Palliative Care)</w:t>
      </w:r>
    </w:p>
    <w:p>
      <w:r>
        <w:rPr>
          <w:b w:val="0"/>
          <w:i w:val="0"/>
          <w:sz w:val="21"/>
        </w:rPr>
      </w:r>
    </w:p>
    <w:p>
      <w:r>
        <w:rPr>
          <w:b w:val="0"/>
          <w:i w:val="0"/>
          <w:sz w:val="21"/>
        </w:rPr>
        <w:t>This memo documents how the transaction satisfies the equity-injection requirements of SOP 50 10 8 (effective June 1, 2025) for a complete change of ownership, and how the investor's contribution is structured so that it qualifies as equity without triggering a personal guaranty.</w:t>
      </w:r>
    </w:p>
    <w:p>
      <w:r>
        <w:rPr>
          <w:b/>
          <w:color w:val="1F3864"/>
          <w:sz w:val="23"/>
        </w:rPr>
        <w:t>Capital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608"/>
          </w:tcPr>
          <w:p>
            <w:r/>
            <w:r>
              <w:rPr>
                <w:b/>
                <w:sz w:val="19"/>
              </w:rPr>
              <w:t>Source</w:t>
            </w:r>
          </w:p>
        </w:tc>
        <w:tc>
          <w:tcPr>
            <w:tcW w:type="dxa" w:w="1584"/>
          </w:tcPr>
          <w:p>
            <w:r/>
            <w:r>
              <w:rPr>
                <w:b/>
                <w:sz w:val="19"/>
              </w:rPr>
              <w:t>Amount</w:t>
            </w:r>
          </w:p>
        </w:tc>
        <w:tc>
          <w:tcPr>
            <w:tcW w:type="dxa" w:w="1584"/>
          </w:tcPr>
          <w:p>
            <w:r/>
            <w:r>
              <w:rPr>
                <w:b/>
                <w:sz w:val="19"/>
              </w:rPr>
              <w:t>% of project</w:t>
            </w:r>
          </w:p>
        </w:tc>
        <w:tc>
          <w:tcPr>
            <w:tcW w:type="dxa" w:w="2592"/>
          </w:tcPr>
          <w:p>
            <w:r/>
            <w:r>
              <w:rPr>
                <w:b/>
                <w:sz w:val="19"/>
              </w:rPr>
              <w:t>Treatment</w:t>
            </w:r>
          </w:p>
        </w:tc>
      </w:tr>
      <w:tr>
        <w:tc>
          <w:tcPr>
            <w:tcW w:type="dxa" w:w="4608"/>
          </w:tcPr>
          <w:p>
            <w:r/>
            <w:r>
              <w:rPr>
                <w:sz w:val="19"/>
              </w:rPr>
              <w:t>SBA 7(a) loan</w:t>
            </w:r>
          </w:p>
        </w:tc>
        <w:tc>
          <w:tcPr>
            <w:tcW w:type="dxa" w:w="1584"/>
          </w:tcPr>
          <w:p>
            <w:r/>
            <w:r>
              <w:rPr>
                <w:sz w:val="19"/>
              </w:rPr>
              <w:t>$500,000</w:t>
            </w:r>
          </w:p>
        </w:tc>
        <w:tc>
          <w:tcPr>
            <w:tcW w:type="dxa" w:w="1584"/>
          </w:tcPr>
          <w:p>
            <w:r/>
            <w:r>
              <w:rPr>
                <w:sz w:val="19"/>
              </w:rPr>
              <w:t>47.6%</w:t>
            </w:r>
          </w:p>
        </w:tc>
        <w:tc>
          <w:tcPr>
            <w:tcW w:type="dxa" w:w="2592"/>
          </w:tcPr>
          <w:p>
            <w:r/>
            <w:r>
              <w:rPr>
                <w:sz w:val="19"/>
              </w:rPr>
              <w:t>Senior debt</w:t>
            </w:r>
          </w:p>
        </w:tc>
      </w:tr>
      <w:tr>
        <w:tc>
          <w:tcPr>
            <w:tcW w:type="dxa" w:w="4608"/>
          </w:tcPr>
          <w:p>
            <w:r/>
            <w:r>
              <w:rPr>
                <w:sz w:val="19"/>
              </w:rPr>
              <w:t>Equity injection - cash (James Bullard, 19.9% member)</w:t>
            </w:r>
          </w:p>
        </w:tc>
        <w:tc>
          <w:tcPr>
            <w:tcW w:type="dxa" w:w="1584"/>
          </w:tcPr>
          <w:p>
            <w:r/>
            <w:r>
              <w:rPr>
                <w:sz w:val="19"/>
              </w:rPr>
              <w:t>$250,000</w:t>
            </w:r>
          </w:p>
        </w:tc>
        <w:tc>
          <w:tcPr>
            <w:tcW w:type="dxa" w:w="1584"/>
          </w:tcPr>
          <w:p>
            <w:r/>
            <w:r>
              <w:rPr>
                <w:sz w:val="19"/>
              </w:rPr>
              <w:t>23.8%</w:t>
            </w:r>
          </w:p>
        </w:tc>
        <w:tc>
          <w:tcPr>
            <w:tcW w:type="dxa" w:w="2592"/>
          </w:tcPr>
          <w:p>
            <w:r/>
            <w:r>
              <w:rPr>
                <w:sz w:val="19"/>
              </w:rPr>
              <w:t>Qualifying equity injection</w:t>
            </w:r>
          </w:p>
        </w:tc>
      </w:tr>
      <w:tr>
        <w:tc>
          <w:tcPr>
            <w:tcW w:type="dxa" w:w="4608"/>
          </w:tcPr>
          <w:p>
            <w:r/>
            <w:r>
              <w:rPr>
                <w:sz w:val="19"/>
              </w:rPr>
              <w:t>Seller note (Hickory CHOW, 36 mo, 6%)</w:t>
            </w:r>
          </w:p>
        </w:tc>
        <w:tc>
          <w:tcPr>
            <w:tcW w:type="dxa" w:w="1584"/>
          </w:tcPr>
          <w:p>
            <w:r/>
            <w:r>
              <w:rPr>
                <w:sz w:val="19"/>
              </w:rPr>
              <w:t>$300,000</w:t>
            </w:r>
          </w:p>
        </w:tc>
        <w:tc>
          <w:tcPr>
            <w:tcW w:type="dxa" w:w="1584"/>
          </w:tcPr>
          <w:p>
            <w:r/>
            <w:r>
              <w:rPr>
                <w:sz w:val="19"/>
              </w:rPr>
              <w:t>28.6%</w:t>
            </w:r>
          </w:p>
        </w:tc>
        <w:tc>
          <w:tcPr>
            <w:tcW w:type="dxa" w:w="2592"/>
          </w:tcPr>
          <w:p>
            <w:r/>
            <w:r>
              <w:rPr>
                <w:sz w:val="19"/>
              </w:rPr>
              <w:t>Acquisition debt (not on standby; not equity)</w:t>
            </w:r>
          </w:p>
        </w:tc>
      </w:tr>
      <w:tr>
        <w:tc>
          <w:tcPr>
            <w:tcW w:type="dxa" w:w="4608"/>
          </w:tcPr>
          <w:p>
            <w:r/>
            <w:r>
              <w:rPr>
                <w:sz w:val="19"/>
              </w:rPr>
              <w:t>Total project cost</w:t>
            </w:r>
          </w:p>
        </w:tc>
        <w:tc>
          <w:tcPr>
            <w:tcW w:type="dxa" w:w="1584"/>
          </w:tcPr>
          <w:p>
            <w:r/>
            <w:r>
              <w:rPr>
                <w:sz w:val="19"/>
              </w:rPr>
              <w:t>$1,050,000</w:t>
            </w:r>
          </w:p>
        </w:tc>
        <w:tc>
          <w:tcPr>
            <w:tcW w:type="dxa" w:w="1584"/>
          </w:tcPr>
          <w:p>
            <w:r/>
            <w:r>
              <w:rPr>
                <w:sz w:val="19"/>
              </w:rPr>
              <w:t>100%</w:t>
            </w:r>
          </w:p>
        </w:tc>
        <w:tc>
          <w:tcPr>
            <w:tcW w:type="dxa" w:w="2592"/>
          </w:tcPr>
          <w:p>
            <w:r/>
            <w:r>
              <w:rPr>
                <w:sz w:val="19"/>
              </w:rPr>
            </w:r>
          </w:p>
        </w:tc>
      </w:tr>
    </w:tbl>
    <w:p>
      <w:r>
        <w:rPr>
          <w:b/>
          <w:color w:val="1F3864"/>
          <w:sz w:val="23"/>
        </w:rPr>
        <w:t>1. The 10% minimum injection is met more than twice over</w:t>
      </w:r>
    </w:p>
    <w:p>
      <w:r>
        <w:rPr>
          <w:b w:val="0"/>
          <w:i w:val="0"/>
          <w:sz w:val="21"/>
        </w:rPr>
        <w:t>SOP 50 10 8 requires a minimum equity injection of at least 10% of total project cost for a complete change of ownership - here, $105,000. The transaction injects $250,000 of cash equity (23.8% of project cost), comfortably above the floor. The injection is non-borrowed cash, verified by the investor's bank / brokerage statements and the capital-contribution wire into the company's account, with funds seasoned in the contributor's account (lender to retain 30+ days of statements per the SOP verification standard).</w:t>
      </w:r>
    </w:p>
    <w:p>
      <w:r>
        <w:rPr>
          <w:b/>
          <w:color w:val="1F3864"/>
          <w:sz w:val="23"/>
        </w:rPr>
        <w:t>2. The seller note does not need to - and does not - count as equity</w:t>
      </w:r>
    </w:p>
    <w:p>
      <w:r>
        <w:rPr>
          <w:b w:val="0"/>
          <w:i w:val="0"/>
          <w:sz w:val="21"/>
        </w:rPr>
        <w:t>Under SOP 50 10 8, seller debt counts toward the injection only if it is on full standby (no principal or interest) for the life of the SBA loan, and even then for no more than 50% of the required injection. The $300,000 Hickory seller note is amortizing (36 months at 6%) and is therefore treated as acquisition debt serviced within combined debt service - not as part of the equity injection. Because the cash injection alone clears the 10% requirement by a wide margin, no standby of the seller note is required.</w:t>
      </w:r>
    </w:p>
    <w:p>
      <w:r>
        <w:rPr>
          <w:b/>
          <w:color w:val="1F3864"/>
          <w:sz w:val="23"/>
        </w:rPr>
        <w:t>3. The investor's equity qualifies without a personal guaranty</w:t>
      </w:r>
    </w:p>
    <w:p>
      <w:r>
        <w:rPr>
          <w:b w:val="0"/>
          <w:i w:val="0"/>
          <w:sz w:val="21"/>
        </w:rPr>
        <w:t>The $250,000 is contributed by James Bullard as a capital contribution in exchange for a direct, fully funded 19.9% membership interest. In a complete change of ownership, SOP 50 10 8 does not require a personal guaranty or Personal Financial Statement from an equity holder of less than 20%. Mr. Bullard's interest is held below that threshold, so his cash qualifies as equity injection while he remains a non-guarantor.</w:t>
      </w:r>
    </w:p>
    <w:p>
      <w:r>
        <w:rPr>
          <w:b w:val="0"/>
          <w:i w:val="0"/>
          <w:sz w:val="21"/>
        </w:rPr>
        <w:t>To preserve eligibility, the structure deliberately avoids the practice SBA flags as disqualifying - an investor taking less than 20% to dodge a guaranty while using a side agreement to control the business. Mr. Bullard is a passive investor: he holds no management authority, no voting control, and no side agreement, option, or convertible instrument that would give him control or push his interest to 20% or more. Control of the business rests entirely with the Managing Member, Adeline &amp; Lilah, LLC (Geoff Schackmann, 39.9%), who provides the unconditional personal guaranty as the sole 20%+ owner.</w:t>
      </w:r>
    </w:p>
    <w:p>
      <w:r>
        <w:rPr>
          <w:b/>
          <w:color w:val="1F3864"/>
          <w:sz w:val="23"/>
        </w:rPr>
        <w:t>4. Guaranty and disclosure summary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Owner</w:t>
            </w:r>
          </w:p>
        </w:tc>
        <w:tc>
          <w:tcPr>
            <w:tcW w:type="dxa" w:w="1440"/>
          </w:tcPr>
          <w:p>
            <w:r/>
            <w:r>
              <w:rPr>
                <w:b/>
                <w:sz w:val="19"/>
              </w:rPr>
              <w:t>Interest</w:t>
            </w:r>
          </w:p>
        </w:tc>
        <w:tc>
          <w:tcPr>
            <w:tcW w:type="dxa" w:w="1152"/>
          </w:tcPr>
          <w:p>
            <w:r/>
            <w:r>
              <w:rPr>
                <w:b/>
                <w:sz w:val="19"/>
              </w:rPr>
              <w:t>20%+?</w:t>
            </w:r>
          </w:p>
        </w:tc>
        <w:tc>
          <w:tcPr>
            <w:tcW w:type="dxa" w:w="3744"/>
          </w:tcPr>
          <w:p>
            <w:r/>
            <w:r>
              <w:rPr>
                <w:b/>
                <w:sz w:val="19"/>
              </w:rPr>
              <w:t>Personal guaranty / PFS / Form 912</w:t>
            </w:r>
          </w:p>
        </w:tc>
      </w:tr>
      <w:tr>
        <w:tc>
          <w:tcPr>
            <w:tcW w:type="dxa" w:w="4032"/>
          </w:tcPr>
          <w:p>
            <w:r/>
            <w:r>
              <w:rPr>
                <w:sz w:val="19"/>
              </w:rPr>
              <w:t>Adeline &amp; Lilah, LLC (Geoff Schackmann)</w:t>
            </w:r>
          </w:p>
        </w:tc>
        <w:tc>
          <w:tcPr>
            <w:tcW w:type="dxa" w:w="1440"/>
          </w:tcPr>
          <w:p>
            <w:r/>
            <w:r>
              <w:rPr>
                <w:sz w:val="19"/>
              </w:rPr>
              <w:t>39.9%</w:t>
            </w:r>
          </w:p>
        </w:tc>
        <w:tc>
          <w:tcPr>
            <w:tcW w:type="dxa" w:w="1152"/>
          </w:tcPr>
          <w:p>
            <w:r/>
            <w:r>
              <w:rPr>
                <w:sz w:val="19"/>
              </w:rPr>
              <w:t>Yes</w:t>
            </w:r>
          </w:p>
        </w:tc>
        <w:tc>
          <w:tcPr>
            <w:tcW w:type="dxa" w:w="3744"/>
          </w:tcPr>
          <w:p>
            <w:r/>
            <w:r>
              <w:rPr>
                <w:sz w:val="19"/>
              </w:rPr>
              <w:t>Required - provided</w:t>
            </w:r>
          </w:p>
        </w:tc>
      </w:tr>
      <w:tr>
        <w:tc>
          <w:tcPr>
            <w:tcW w:type="dxa" w:w="4032"/>
          </w:tcPr>
          <w:p>
            <w:r/>
            <w:r>
              <w:rPr>
                <w:sz w:val="19"/>
              </w:rPr>
              <w:t>James Bullard (passive investor)</w:t>
            </w:r>
          </w:p>
        </w:tc>
        <w:tc>
          <w:tcPr>
            <w:tcW w:type="dxa" w:w="1440"/>
          </w:tcPr>
          <w:p>
            <w:r/>
            <w:r>
              <w:rPr>
                <w:sz w:val="19"/>
              </w:rPr>
              <w:t>19.9%</w:t>
            </w:r>
          </w:p>
        </w:tc>
        <w:tc>
          <w:tcPr>
            <w:tcW w:type="dxa" w:w="1152"/>
          </w:tcPr>
          <w:p>
            <w:r/>
            <w:r>
              <w:rPr>
                <w:sz w:val="19"/>
              </w:rPr>
              <w:t>No</w:t>
            </w:r>
          </w:p>
        </w:tc>
        <w:tc>
          <w:tcPr>
            <w:tcW w:type="dxa" w:w="3744"/>
          </w:tcPr>
          <w:p>
            <w:r/>
            <w:r>
              <w:rPr>
                <w:sz w:val="19"/>
              </w:rPr>
              <w:t>Not required (source-of-funds verification only)</w:t>
            </w:r>
          </w:p>
        </w:tc>
      </w:tr>
      <w:tr>
        <w:tc>
          <w:tcPr>
            <w:tcW w:type="dxa" w:w="4032"/>
          </w:tcPr>
          <w:p>
            <w:r/>
            <w:r>
              <w:rPr>
                <w:sz w:val="19"/>
              </w:rPr>
              <w:t>Silas R. Shelton</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r>
        <w:tc>
          <w:tcPr>
            <w:tcW w:type="dxa" w:w="4032"/>
          </w:tcPr>
          <w:p>
            <w:r/>
            <w:r>
              <w:rPr>
                <w:sz w:val="19"/>
              </w:rPr>
              <w:t>Dana L. Davenport</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r>
        <w:tc>
          <w:tcPr>
            <w:tcW w:type="dxa" w:w="4032"/>
          </w:tcPr>
          <w:p>
            <w:r/>
            <w:r>
              <w:rPr>
                <w:sz w:val="19"/>
              </w:rPr>
              <w:t>Bradley G. Woodard</w:t>
            </w:r>
          </w:p>
        </w:tc>
        <w:tc>
          <w:tcPr>
            <w:tcW w:type="dxa" w:w="1440"/>
          </w:tcPr>
          <w:p>
            <w:r/>
            <w:r>
              <w:rPr>
                <w:sz w:val="19"/>
              </w:rPr>
              <w:t>13.3%</w:t>
            </w:r>
          </w:p>
        </w:tc>
        <w:tc>
          <w:tcPr>
            <w:tcW w:type="dxa" w:w="1152"/>
          </w:tcPr>
          <w:p>
            <w:r/>
            <w:r>
              <w:rPr>
                <w:sz w:val="19"/>
              </w:rPr>
              <w:t>No</w:t>
            </w:r>
          </w:p>
        </w:tc>
        <w:tc>
          <w:tcPr>
            <w:tcW w:type="dxa" w:w="3744"/>
          </w:tcPr>
          <w:p>
            <w:r/>
            <w:r>
              <w:rPr>
                <w:sz w:val="19"/>
              </w:rPr>
              <w:t>Not required</w:t>
            </w:r>
          </w:p>
        </w:tc>
      </w:tr>
    </w:tbl>
    <w:p>
      <w:r>
        <w:rPr>
          <w:b w:val="0"/>
          <w:i/>
          <w:sz w:val="18"/>
        </w:rPr>
        <w:t>All equity owners are disclosed regardless of percentage, and all are U.S. citizens or lawful permanent residents (to be verified by the lender per SOP 50 10 8).</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