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each owner of 20% or more (Geoff Schackmann via Adeline &amp; Lilah, LLC at 39.9%)</w:t>
      </w:r>
    </w:p>
    <w:p>
      <w:r>
        <w:rPr>
          <w:b w:val="0"/>
          <w:i/>
          <w:sz w:val="18"/>
        </w:rPr>
        <w:t>Note: only owners of 20% or more need the personal items below. James Bullard holds 19.9% as a passive minority investor and is below the 20% threshold, so no personal guaranty, PFS, or Form 912 is required of him. The lender will still verify the source of his $250,000 injection via his bank / brokerage statements (item below), which is standard for any equity-injection source.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These items verify the source of the $250,000 cash equity injection per SOP 50 10 8. Required even though Mr. Bullard is under 20% and provides no personal guaranty.</w:t>
      </w:r>
    </w:p>
    <w:p>
      <w:r>
        <w:rPr>
          <w:b w:val="0"/>
          <w:i w:val="0"/>
          <w:sz w:val="21"/>
        </w:rPr>
        <w:t xml:space="preserve">  - Mr. Bullard's bank or brokerage statements - at least 30 days, in his name, showing the $250,000 available</w:t>
      </w:r>
    </w:p>
    <w:p>
      <w:r>
        <w:rPr>
          <w:b w:val="0"/>
          <w:i w:val="0"/>
          <w:sz w:val="21"/>
        </w:rPr>
        <w:t xml:space="preserve">  - Evidence of the wire/transfer of the $250,000 capital contribution into the company's bank account</w:t>
      </w:r>
    </w:p>
    <w:p>
      <w:r>
        <w:rPr>
          <w:b w:val="0"/>
          <w:i w:val="0"/>
          <w:sz w:val="21"/>
        </w:rPr>
        <w:t xml:space="preserve">  - If any portion of the source funds is from sale of an asset or from another account, the trail/statements connecting the two</w:t>
      </w:r>
    </w:p>
    <w:p>
      <w:r>
        <w:rPr>
          <w:b w:val="0"/>
          <w:i w:val="0"/>
          <w:sz w:val="21"/>
        </w:rPr>
        <w:t xml:space="preserve">  - (Note: this does NOT require a PFS, Form 912, or tax returns from Mr. Bullard - only source-of-funds documentation)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Executed Hickory seller note ($300,000, 36 months, 6%) and security documentation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