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13387 Hwy 69 N, Tyler, TX (principal office)</w:t>
      </w:r>
    </w:p>
    <w:p>
      <w:r>
        <w:rPr>
          <w:b/>
        </w:rPr>
        <w:t xml:space="preserve">City / County / State / Zip:  </w:t>
      </w:r>
      <w:r>
        <w:t>Tyler / Smith / TX / __________ (to provide) (zip)</w:t>
      </w:r>
    </w:p>
    <w:p>
      <w:r>
        <w:rPr>
          <w:b/>
        </w:rPr>
        <w:t xml:space="preserve">Contact / Phone / Fax:  </w:t>
      </w:r>
      <w:r>
        <w:t>Geoff Schackmann, Managing Member - 480-495-5474 - geoff@azaleahospice.com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members: Geoff Schackmann 50%, Mary Elizabeth Burcham 50%; Geoff serves as Managing Member - 4602 E Cheery Lynn Rd, Phoenix, AZ 85018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 of Tyler Hospice Hold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geoff@azaleahospice.com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E. Bullard - 13910 Indiana Ave, Suite 300, Lubbock, TX 79423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19.5%*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jimbullard01@aol.com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 - 1503 Lake Park Circle, Hideaway, TX 75771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silas@azaleahospice.com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 - 421 W Cumberland Rd, Apt 403, Tyler, TX 75703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19.5%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$195,000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as Restricted Interests. Each starts with a 4.9% Initial Vested Base (vested at inception, reflecting the operator's original interest) and earns up to a fully-vested 13.3% through an 8.4% Earn-Up Portion that vests only on a dual trigger - a four-year time schedule with a one-year cliff AND performance milestones, the lesser of the two governing - recorded in the Operating Agreement (Amendment No. 1). Unvested Earn-Up interests are forfeited at $0 on departure; vested interests are subject to a Company repurchase (call) right at fair market value for a good-leaver separation (no-cause termination, death, disability, retirement) or the lower of cost or fair market value for a bad-leaver separation (resignation before full vesting, or termination for cause).</w:t>
      </w:r>
    </w:p>
    <w:p>
      <w:r>
        <w:rPr>
          <w:b w:val="0"/>
          <w:i/>
          <w:sz w:val="18"/>
        </w:rPr>
        <w:t>Indirect chain: Geoff Schackmann holds 50% of Adeline &amp; Lilah, LLC and serves as its sole Managing Member; he therefore controls the 39.9% A&amp;L block in Tyler Hospice Hold LLC and is the sole 20%+ owner of record for SBA personal-guaranty purposes. Mary Elizabeth Burcham (Geoff's spouse) holds the other 50% of Adeline &amp; Lilah, LLC as a passive member (no management role), giving her an indirect economic interest of 19.95% in Tyler Hospice Hold LLC. As Geoff's spouse, she will sign the customary spouse acknowledgement / consent on the personal guaranty at close. Unissued/reserved pool: 0.7%.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